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3</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315</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315</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东紫路173号1栋附315</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b w:val="0"/>
          <w:bCs w:val="0"/>
          <w:sz w:val="28"/>
          <w:szCs w:val="28"/>
          <w:highlight w:val="none"/>
          <w:u w:val="single"/>
          <w:lang w:val="en-US" w:eastAsia="zh-CN"/>
        </w:rPr>
        <w:t xml:space="preserve"> A1号楼</w:t>
      </w:r>
      <w:r>
        <w:rPr>
          <w:rFonts w:hint="eastAsia" w:ascii="Times New Roman" w:hAnsi="Times New Roman" w:eastAsia="方正仿宋_GB2312" w:cs="Times New Roman"/>
          <w:b w:val="0"/>
          <w:bCs w:val="0"/>
          <w:sz w:val="28"/>
          <w:szCs w:val="28"/>
          <w:highlight w:val="none"/>
          <w:u w:val="single"/>
          <w:lang w:val="en-US" w:eastAsia="zh-CN"/>
        </w:rPr>
        <w:t>3</w:t>
      </w:r>
      <w:r>
        <w:rPr>
          <w:rFonts w:hint="default" w:ascii="Times New Roman" w:hAnsi="Times New Roman" w:eastAsia="方正仿宋_GB2312" w:cs="Times New Roman"/>
          <w:b w:val="0"/>
          <w:bCs w:val="0"/>
          <w:sz w:val="28"/>
          <w:szCs w:val="28"/>
          <w:highlight w:val="none"/>
          <w:u w:val="single"/>
          <w:lang w:val="en-US" w:eastAsia="zh-CN"/>
        </w:rPr>
        <w:t>层</w:t>
      </w:r>
      <w:r>
        <w:rPr>
          <w:rFonts w:hint="eastAsia" w:ascii="Times New Roman" w:hAnsi="Times New Roman" w:eastAsia="方正仿宋_GB2312" w:cs="Times New Roman"/>
          <w:b w:val="0"/>
          <w:bCs w:val="0"/>
          <w:sz w:val="28"/>
          <w:szCs w:val="28"/>
          <w:highlight w:val="none"/>
          <w:u w:val="single"/>
          <w:lang w:val="en-US" w:eastAsia="zh-CN"/>
        </w:rPr>
        <w:t>315</w:t>
      </w:r>
      <w:r>
        <w:rPr>
          <w:rFonts w:hint="default" w:ascii="Times New Roman" w:hAnsi="Times New Roman" w:eastAsia="方正仿宋_GB2312" w:cs="Times New Roman"/>
          <w:b w:val="0"/>
          <w:bCs w:val="0"/>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293.77</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现状交付。</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生活配套类</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27"/>
        <w:gridCol w:w="1134"/>
        <w:gridCol w:w="1087"/>
        <w:gridCol w:w="917"/>
        <w:gridCol w:w="782"/>
        <w:gridCol w:w="1040"/>
        <w:gridCol w:w="912"/>
        <w:gridCol w:w="912"/>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27"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34"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0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1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78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040"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12"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12"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83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3</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315</w:t>
            </w:r>
            <w:r>
              <w:rPr>
                <w:rFonts w:hint="default" w:ascii="Times New Roman" w:hAnsi="Times New Roman" w:eastAsia="方正仿宋_GB2312" w:cs="Times New Roman"/>
                <w:sz w:val="16"/>
                <w:szCs w:val="16"/>
                <w:highlight w:val="none"/>
                <w:lang w:val="en-US" w:eastAsia="zh-CN"/>
              </w:rPr>
              <w:t>号商铺</w:t>
            </w:r>
          </w:p>
        </w:tc>
        <w:tc>
          <w:tcPr>
            <w:tcW w:w="72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293.77㎡</w:t>
            </w:r>
          </w:p>
        </w:tc>
        <w:tc>
          <w:tcPr>
            <w:tcW w:w="1134"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0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2个月租金</w:t>
            </w:r>
          </w:p>
        </w:tc>
        <w:tc>
          <w:tcPr>
            <w:tcW w:w="91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040"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34</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1个月</w:t>
            </w:r>
          </w:p>
        </w:tc>
        <w:tc>
          <w:tcPr>
            <w:tcW w:w="91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前两年无递增，第三年递增5%</w:t>
            </w:r>
          </w:p>
        </w:tc>
      </w:tr>
    </w:tbl>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w:t>
      </w:r>
      <w:bookmarkStart w:id="0" w:name="_GoBack"/>
      <w:bookmarkEnd w:id="0"/>
      <w:r>
        <w:rPr>
          <w:rFonts w:hint="default" w:ascii="Times New Roman" w:hAnsi="Times New Roman" w:eastAsia="方正仿宋_GB2312" w:cs="Times New Roman"/>
          <w:sz w:val="28"/>
          <w:szCs w:val="28"/>
          <w:highlight w:val="none"/>
        </w:rPr>
        <w:t>在四川旅投旅游创新开发有限责任公司官网、天府国际动漫城微信公众号进行公示，公示期为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16</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22</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23</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22</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12</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23</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ind w:firstLine="56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附件4：合同模板</w:t>
      </w:r>
    </w:p>
    <w:p>
      <w:pPr>
        <w:spacing w:line="576" w:lineRule="exact"/>
        <w:ind w:firstLine="560" w:firstLineChars="200"/>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6"/>
                    <a:stretch>
                      <a:fillRect/>
                    </a:stretch>
                  </pic:blipFill>
                  <pic:spPr>
                    <a:xfrm>
                      <a:off x="0" y="0"/>
                      <a:ext cx="3002280" cy="166941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1499870</wp:posOffset>
                </wp:positionH>
                <wp:positionV relativeFrom="paragraph">
                  <wp:posOffset>1790700</wp:posOffset>
                </wp:positionV>
                <wp:extent cx="256540" cy="138430"/>
                <wp:effectExtent l="9525" t="9525" r="19685" b="23495"/>
                <wp:wrapNone/>
                <wp:docPr id="13" name="矩形 13"/>
                <wp:cNvGraphicFramePr/>
                <a:graphic xmlns:a="http://schemas.openxmlformats.org/drawingml/2006/main">
                  <a:graphicData uri="http://schemas.microsoft.com/office/word/2010/wordprocessingShape">
                    <wps:wsp>
                      <wps:cNvSpPr/>
                      <wps:spPr>
                        <a:xfrm flipH="1" flipV="1">
                          <a:off x="0" y="0"/>
                          <a:ext cx="256540" cy="1384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118.1pt;margin-top:141pt;height:10.9pt;width:20.2pt;z-index:251660288;v-text-anchor:middle;mso-width-relative:page;mso-height-relative:page;" filled="f" stroked="t" coordsize="21600,21600" o:gfxdata="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RZYOdkAAAALAQAADwAAAAAAAAABACAAAAAiAAAAZHJz&#10;L2Rvd25yZXYueG1sUEsBAhQAFAAAAAgAh07iQCoDnUF1AgAA4AQAAA4AAAAAAAAAAQAgAAAAKAEA&#10;AGRycy9lMm9Eb2MueG1sUEsFBgAAAAAGAAYAWQEAAA8GAAAAAA==&#10;">
                <v:fill on="f" focussize="0,0"/>
                <v:stroke weight="1.5pt" color="#FF0000 [3204]"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793490" cy="2136140"/>
            <wp:effectExtent l="0" t="0" r="16510" b="16510"/>
            <wp:docPr id="7" name="图片 7" descr="3796da9c-8d32-4193-9232-aba92ac0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96da9c-8d32-4193-9232-aba92ac05248"/>
                    <pic:cNvPicPr>
                      <a:picLocks noChangeAspect="1"/>
                    </pic:cNvPicPr>
                  </pic:nvPicPr>
                  <pic:blipFill>
                    <a:blip r:embed="rId17"/>
                    <a:stretch>
                      <a:fillRect/>
                    </a:stretch>
                  </pic:blipFill>
                  <pic:spPr>
                    <a:xfrm>
                      <a:off x="0" y="0"/>
                      <a:ext cx="3793490" cy="2136140"/>
                    </a:xfrm>
                    <a:prstGeom prst="rect">
                      <a:avLst/>
                    </a:prstGeom>
                  </pic:spPr>
                </pic:pic>
              </a:graphicData>
            </a:graphic>
          </wp:inline>
        </w:drawing>
      </w:r>
    </w:p>
    <w:p>
      <w:pPr>
        <w:pStyle w:val="2"/>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524760" cy="1904365"/>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3</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315</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rPr>
      </w:pPr>
    </w:p>
    <w:p>
      <w:pPr>
        <w:pStyle w:val="5"/>
        <w:rPr>
          <w:rFonts w:hint="default" w:ascii="Times New Roman" w:hAnsi="Times New Roman" w:cs="Times New Roman"/>
          <w:highlight w:val="none"/>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pStyle w:val="2"/>
        <w:rPr>
          <w:rFonts w:hint="eastAsia"/>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3</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315</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eastAsia" w:ascii="Times New Roman" w:hAnsi="Times New Roman" w:eastAsia="方正仿宋_GB2312" w:cs="Times New Roman"/>
          <w:sz w:val="28"/>
          <w:szCs w:val="28"/>
          <w:highlight w:val="none"/>
          <w:lang w:val="en-US" w:eastAsia="zh-CN"/>
        </w:rPr>
        <w:t>装修</w:t>
      </w:r>
      <w:r>
        <w:rPr>
          <w:rFonts w:hint="default" w:ascii="Times New Roman" w:hAnsi="Times New Roman" w:eastAsia="方正仿宋_GB2312" w:cs="Times New Roman"/>
          <w:sz w:val="28"/>
          <w:szCs w:val="28"/>
          <w:highlight w:val="none"/>
          <w:lang w:val="en-US" w:eastAsia="zh-CN"/>
        </w:rPr>
        <w:t>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rPr>
      </w:pPr>
      <w:r>
        <w:rPr>
          <w:rFonts w:hint="eastAsia" w:ascii="Times New Roman" w:hAnsi="Times New Roman" w:eastAsia="方正仿宋_GB2312" w:cs="Times New Roman"/>
          <w:sz w:val="28"/>
          <w:szCs w:val="28"/>
          <w:highlight w:val="none"/>
          <w:lang w:val="en-US" w:eastAsia="zh-CN"/>
        </w:rPr>
        <w:t>运营培育</w:t>
      </w:r>
      <w:r>
        <w:rPr>
          <w:rFonts w:hint="default" w:ascii="Times New Roman" w:hAnsi="Times New Roman" w:eastAsia="方正仿宋_GB2312" w:cs="Times New Roman"/>
          <w:sz w:val="28"/>
          <w:szCs w:val="28"/>
          <w:highlight w:val="none"/>
          <w:lang w:val="en-US" w:eastAsia="zh-CN"/>
        </w:rPr>
        <w:t>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2</w:t>
      </w:r>
      <w:r>
        <w:rPr>
          <w:rFonts w:hint="eastAsia" w:ascii="Times New Roman" w:hAnsi="Times New Roman" w:eastAsia="方正仿宋_GB2312" w:cs="Times New Roman"/>
          <w:sz w:val="28"/>
          <w:szCs w:val="28"/>
          <w:highlight w:val="none"/>
          <w:u w:val="single"/>
          <w:lang w:val="en-US" w:eastAsia="zh-CN"/>
        </w:rPr>
        <w:t>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ascii="Times New Roman" w:hAnsi="Times New Roman" w:eastAsia="方正仿宋_GB2312" w:cs="Times New Roman"/>
          <w:sz w:val="28"/>
          <w:szCs w:val="28"/>
          <w:highlight w:val="none"/>
          <w:lang w:val="en-US" w:eastAsia="zh-CN"/>
        </w:rPr>
      </w:pPr>
    </w:p>
    <w:p>
      <w:pPr>
        <w:rPr>
          <w:rFonts w:hint="default"/>
          <w:lang w:val="en-US" w:eastAsia="zh-CN"/>
        </w:rPr>
      </w:pPr>
    </w:p>
    <w:p>
      <w:pPr>
        <w:pStyle w:val="2"/>
        <w:rPr>
          <w:rFonts w:hint="default"/>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ascii="Times New Roman" w:hAnsi="Times New Roman" w:eastAsia="方正仿宋_GB2312" w:cs="Times New Roman"/>
          <w:sz w:val="28"/>
          <w:szCs w:val="28"/>
          <w:lang w:val="en-US" w:eastAsia="zh-CN"/>
        </w:rPr>
      </w:pPr>
    </w:p>
    <w:p>
      <w:pPr>
        <w:rPr>
          <w:rFonts w:hint="eastAsia" w:ascii="Times New Roman" w:hAnsi="Times New Roman" w:eastAsia="方正仿宋_GB2312" w:cs="Times New Roman"/>
          <w:sz w:val="28"/>
          <w:szCs w:val="28"/>
          <w:lang w:val="en-US" w:eastAsia="zh-CN"/>
        </w:rPr>
      </w:pPr>
    </w:p>
    <w:p>
      <w:pPr>
        <w:pStyle w:val="2"/>
        <w:rPr>
          <w:rFonts w:hint="eastAsia"/>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rPr>
          <w:rFonts w:hint="default"/>
          <w:sz w:val="20"/>
          <w:szCs w:val="21"/>
        </w:rPr>
      </w:pPr>
    </w:p>
    <w:p>
      <w:pPr>
        <w:spacing w:before="120" w:beforeLines="50" w:after="120" w:afterLines="50"/>
        <w:jc w:val="center"/>
        <w:rPr>
          <w:rFonts w:hint="eastAsia" w:ascii="宋体" w:hAnsi="宋体" w:eastAsia="宋体" w:cs="宋体"/>
          <w:b/>
          <w:sz w:val="22"/>
          <w:szCs w:val="22"/>
          <w:u w:val="single"/>
        </w:rPr>
      </w:pPr>
      <w:r>
        <w:rPr>
          <w:rFonts w:hint="eastAsia" w:ascii="宋体" w:hAnsi="宋体" w:eastAsia="宋体" w:cs="宋体"/>
          <w:b/>
          <w:szCs w:val="28"/>
          <w:lang w:val="en-US" w:eastAsia="zh-CN"/>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 w:val="32"/>
          <w:szCs w:val="32"/>
        </w:rPr>
        <w:t>天府国际动漫城</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租</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赁</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合</w:t>
      </w:r>
    </w:p>
    <w:p>
      <w:pPr>
        <w:spacing w:before="120" w:beforeLines="50" w:after="120" w:afterLines="50"/>
        <w:jc w:val="center"/>
        <w:rPr>
          <w:rFonts w:hint="eastAsia" w:ascii="宋体" w:hAnsi="宋体" w:eastAsia="宋体" w:cs="宋体"/>
          <w:b/>
          <w:sz w:val="72"/>
          <w:szCs w:val="72"/>
        </w:rPr>
      </w:pPr>
      <w:r>
        <w:rPr>
          <w:rFonts w:hint="eastAsia" w:ascii="宋体" w:hAnsi="宋体" w:eastAsia="宋体" w:cs="宋体"/>
          <w:b/>
          <w:sz w:val="72"/>
          <w:szCs w:val="72"/>
        </w:rPr>
        <w:t>同</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r>
        <w:rPr>
          <w:rFonts w:hint="eastAsia" w:ascii="宋体" w:hAnsi="宋体" w:eastAsia="宋体" w:cs="宋体"/>
          <w:b/>
          <w:szCs w:val="28"/>
        </w:rPr>
        <w:t xml:space="preserve">               </w:t>
      </w: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Cs w:val="28"/>
        </w:rPr>
      </w:pPr>
    </w:p>
    <w:p>
      <w:pPr>
        <w:spacing w:before="120" w:beforeLines="50" w:after="120" w:afterLines="50"/>
        <w:jc w:val="center"/>
        <w:rPr>
          <w:rFonts w:hint="eastAsia" w:ascii="宋体" w:hAnsi="宋体" w:eastAsia="宋体" w:cs="宋体"/>
          <w:b/>
          <w:sz w:val="22"/>
          <w:szCs w:val="22"/>
        </w:rPr>
      </w:pPr>
      <w:r>
        <w:rPr>
          <w:rFonts w:hint="eastAsia" w:ascii="宋体" w:hAnsi="宋体" w:eastAsia="宋体" w:cs="宋体"/>
          <w:b/>
          <w:szCs w:val="28"/>
        </w:rPr>
        <w:t>二○二</w:t>
      </w:r>
      <w:r>
        <w:rPr>
          <w:rFonts w:hint="eastAsia" w:ascii="宋体" w:hAnsi="宋体" w:eastAsia="宋体" w:cs="宋体"/>
          <w:b/>
          <w:szCs w:val="28"/>
          <w:lang w:eastAsia="zh-CN"/>
        </w:rPr>
        <w:t>五</w:t>
      </w:r>
      <w:r>
        <w:rPr>
          <w:rFonts w:hint="eastAsia" w:ascii="宋体" w:hAnsi="宋体" w:eastAsia="宋体" w:cs="宋体"/>
          <w:b/>
          <w:szCs w:val="28"/>
        </w:rPr>
        <w:t>年   月</w:t>
      </w:r>
      <w:r>
        <w:rPr>
          <w:rFonts w:hint="eastAsia" w:ascii="宋体" w:hAnsi="宋体" w:eastAsia="宋体" w:cs="宋体"/>
          <w:b/>
          <w:sz w:val="22"/>
          <w:szCs w:val="22"/>
        </w:rPr>
        <w:t xml:space="preserve"> </w:t>
      </w:r>
    </w:p>
    <w:p>
      <w:pPr>
        <w:spacing w:before="120" w:beforeLines="50" w:after="120" w:afterLines="50"/>
        <w:jc w:val="center"/>
        <w:rPr>
          <w:rFonts w:hint="eastAsia" w:ascii="Arial" w:hAnsi="Arial" w:eastAsia="宋体" w:cs="宋体"/>
          <w:b/>
          <w:szCs w:val="28"/>
        </w:rPr>
        <w:sectPr>
          <w:footerReference r:id="rId3" w:type="default"/>
          <w:pgSz w:w="11906" w:h="16838"/>
          <w:pgMar w:top="1440" w:right="1417" w:bottom="1440" w:left="1417" w:header="708" w:footer="709" w:gutter="0"/>
          <w:pgNumType w:start="1"/>
          <w:cols w:space="720" w:num="1"/>
          <w:docGrid w:linePitch="360" w:charSpace="0"/>
        </w:sectPr>
      </w:pPr>
    </w:p>
    <w:p>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pPr>
        <w:spacing w:before="120" w:beforeLines="50" w:after="120" w:afterLines="50"/>
        <w:ind w:firstLine="442" w:firstLineChars="200"/>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 xml:space="preserve">承租人（以下简称乙方）： </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鉴于：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hint="eastAsia" w:ascii="Arial" w:hAnsi="Arial" w:eastAsia="宋体" w:cs="宋体"/>
          <w:sz w:val="22"/>
          <w:szCs w:val="22"/>
          <w:lang w:eastAsia="zh-CN"/>
        </w:rPr>
        <w:t>、</w:t>
      </w:r>
      <w:r>
        <w:rPr>
          <w:rFonts w:hint="eastAsia" w:ascii="Arial" w:hAnsi="Arial" w:eastAsia="宋体" w:cs="宋体"/>
          <w:sz w:val="22"/>
          <w:szCs w:val="22"/>
        </w:rPr>
        <w:t>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w:t>
      </w:r>
      <w:r>
        <w:rPr>
          <w:rFonts w:hint="eastAsia" w:ascii="Arial" w:hAnsi="Arial" w:eastAsia="宋体" w:cs="宋体"/>
          <w:sz w:val="22"/>
          <w:szCs w:val="22"/>
          <w:lang w:eastAsia="zh-CN"/>
        </w:rPr>
        <w:t>、</w:t>
      </w:r>
      <w:r>
        <w:rPr>
          <w:rFonts w:hint="eastAsia" w:ascii="Arial" w:hAnsi="Arial" w:eastAsia="宋体" w:cs="宋体"/>
          <w:sz w:val="22"/>
          <w:szCs w:val="22"/>
        </w:rPr>
        <w:t>本合同甲方四川旅投漫话世界旅游开发有限责任公司是依据前述背景所设立的独立法人，系“天府国际动漫城”项目的投资主体、建设单位及业主单位。</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3</w:t>
      </w:r>
      <w:r>
        <w:rPr>
          <w:rFonts w:hint="eastAsia" w:ascii="Arial" w:hAnsi="Arial" w:eastAsia="宋体" w:cs="宋体"/>
          <w:sz w:val="22"/>
          <w:szCs w:val="22"/>
          <w:lang w:eastAsia="zh-CN"/>
        </w:rPr>
        <w:t>、</w:t>
      </w:r>
      <w:r>
        <w:rPr>
          <w:rFonts w:hint="eastAsia" w:ascii="Arial" w:hAnsi="Arial" w:eastAsia="宋体" w:cs="宋体"/>
          <w:sz w:val="22"/>
          <w:szCs w:val="22"/>
        </w:rPr>
        <w:t>为更快更优实现“天府国际动漫城”的产业、旅游、文创功能布局及属性，甲方通过公开招募程序招募承租人，乙方在甲方的招募过程中凭借其优势中选成为“天府国际动漫城”商业部分承租方。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sz w:val="22"/>
          <w:szCs w:val="22"/>
        </w:rPr>
      </w:pPr>
      <w:r>
        <w:rPr>
          <w:rFonts w:hint="eastAsia" w:ascii="Arial" w:hAnsi="Arial" w:eastAsia="宋体" w:cs="宋体"/>
          <w:b/>
          <w:sz w:val="22"/>
          <w:szCs w:val="22"/>
        </w:rPr>
        <w:t>1、定义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1.5“公共区域”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1.6“</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1.10“</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sz w:val="22"/>
          <w:szCs w:val="22"/>
        </w:rPr>
      </w:pPr>
      <w:r>
        <w:rPr>
          <w:rFonts w:hint="eastAsia" w:ascii="Arial" w:hAnsi="Arial" w:eastAsia="宋体" w:cs="宋体"/>
          <w:b/>
          <w:bCs/>
          <w:sz w:val="22"/>
          <w:szCs w:val="22"/>
        </w:rPr>
        <w:t>1.11“营业额”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宋体" w:hAnsi="宋体" w:eastAsia="宋体" w:cs="宋体"/>
          <w:bCs/>
          <w:sz w:val="22"/>
          <w:szCs w:val="22"/>
        </w:rPr>
      </w:pPr>
      <w:r>
        <w:rPr>
          <w:rFonts w:hint="eastAsia" w:ascii="Arial" w:hAnsi="Arial" w:eastAsia="宋体" w:cs="宋体"/>
          <w:b/>
          <w:bCs/>
          <w:sz w:val="22"/>
          <w:szCs w:val="22"/>
        </w:rPr>
        <w:t>1.12“租赁期限”</w:t>
      </w:r>
      <w:r>
        <w:rPr>
          <w:rFonts w:hint="eastAsia" w:ascii="宋体" w:hAnsi="宋体" w:eastAsia="宋体" w:cs="宋体"/>
          <w:bCs/>
          <w:sz w:val="22"/>
          <w:szCs w:val="22"/>
        </w:rPr>
        <w:t>：指合同第4.1.1条约定的租赁期限。</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1.13“装修期”</w:t>
      </w:r>
      <w:r>
        <w:rPr>
          <w:rStyle w:val="12"/>
          <w:rFonts w:hint="eastAsia" w:ascii="宋体" w:hAnsi="宋体" w:cs="宋体"/>
          <w:color w:val="000000"/>
          <w:sz w:val="22"/>
          <w:szCs w:val="22"/>
        </w:rPr>
        <w:t>：指合同第8.1条约定的装修期。</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1.14“计租期”</w:t>
      </w:r>
      <w:r>
        <w:rPr>
          <w:rStyle w:val="12"/>
          <w:rFonts w:hint="eastAsia" w:ascii="宋体" w:hAnsi="宋体" w:cs="宋体"/>
          <w:color w:val="000000"/>
          <w:sz w:val="22"/>
          <w:szCs w:val="22"/>
        </w:rPr>
        <w:t>：自开业日（计租日）起至租赁期限届满之日。</w:t>
      </w:r>
    </w:p>
    <w:p>
      <w:pPr>
        <w:pStyle w:val="17"/>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Style w:val="12"/>
          <w:rFonts w:ascii="宋体" w:hAnsi="宋体" w:cs="宋体"/>
          <w:color w:val="000000"/>
          <w:sz w:val="22"/>
          <w:szCs w:val="22"/>
        </w:rPr>
      </w:pPr>
      <w:r>
        <w:rPr>
          <w:rFonts w:hint="eastAsia" w:ascii="Arial" w:hAnsi="Arial" w:cs="宋体"/>
          <w:b/>
          <w:bCs/>
          <w:color w:val="000000"/>
          <w:kern w:val="2"/>
        </w:rPr>
        <w:t>1.15“运营培育期”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Fonts w:ascii="Arial" w:hAnsi="Arial" w:eastAsia="宋体" w:cs="宋体"/>
          <w:b/>
          <w:bCs/>
          <w:sz w:val="22"/>
          <w:szCs w:val="22"/>
        </w:rPr>
      </w:pPr>
      <w:r>
        <w:rPr>
          <w:rFonts w:hint="eastAsia" w:ascii="Arial" w:hAnsi="Arial" w:eastAsia="宋体" w:cs="宋体"/>
          <w:b/>
          <w:bCs/>
          <w:sz w:val="22"/>
          <w:szCs w:val="22"/>
        </w:rPr>
        <w:t>1.16“交付日”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1.17“开业日”</w:t>
      </w:r>
      <w:r>
        <w:rPr>
          <w:rStyle w:val="12"/>
          <w:rFonts w:hint="eastAsia" w:ascii="宋体" w:hAnsi="宋体" w:eastAsia="宋体" w:cs="宋体"/>
          <w:sz w:val="22"/>
          <w:szCs w:val="22"/>
        </w:rPr>
        <w:t>：除本合同另有约定外，即装修期届满的次日。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outlineLvl w:val="0"/>
        <w:rPr>
          <w:rStyle w:val="12"/>
          <w:rFonts w:ascii="宋体" w:hAnsi="宋体" w:eastAsia="宋体" w:cs="宋体"/>
          <w:sz w:val="22"/>
          <w:szCs w:val="22"/>
        </w:rPr>
      </w:pPr>
      <w:r>
        <w:rPr>
          <w:rFonts w:hint="eastAsia" w:ascii="Arial" w:hAnsi="Arial" w:eastAsia="宋体" w:cs="宋体"/>
          <w:b/>
          <w:bCs/>
          <w:sz w:val="22"/>
          <w:szCs w:val="22"/>
        </w:rPr>
        <w:t>1.18“计租日”</w:t>
      </w:r>
      <w:r>
        <w:rPr>
          <w:rStyle w:val="12"/>
          <w:rFonts w:hint="eastAsia" w:ascii="宋体" w:hAnsi="宋体" w:eastAsia="宋体" w:cs="宋体"/>
          <w:sz w:val="22"/>
          <w:szCs w:val="22"/>
        </w:rPr>
        <w:t>：指本合同约定的开业日，也即租金的起租日。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2、商铺详情及状态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b/>
          <w:bCs/>
          <w:sz w:val="22"/>
          <w:szCs w:val="22"/>
        </w:rPr>
      </w:pPr>
      <w:r>
        <w:rPr>
          <w:rFonts w:ascii="Arial" w:hAnsi="Arial" w:eastAsia="宋体" w:cs="宋体"/>
          <w:b/>
          <w:bCs/>
          <w:sz w:val="22"/>
          <w:szCs w:val="22"/>
        </w:rPr>
        <w:t>2.</w:t>
      </w:r>
      <w:r>
        <w:rPr>
          <w:rFonts w:hint="eastAsia" w:ascii="Arial" w:hAnsi="Arial" w:eastAsia="宋体" w:cs="宋体"/>
          <w:b/>
          <w:bCs/>
          <w:sz w:val="22"/>
          <w:szCs w:val="22"/>
        </w:rPr>
        <w:t>4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keepNext w:val="0"/>
        <w:keepLines w:val="0"/>
        <w:pageBreakBefore w:val="0"/>
        <w:kinsoku/>
        <w:wordWrap/>
        <w:overflowPunct/>
        <w:topLinePunct w:val="0"/>
        <w:autoSpaceDE/>
        <w:autoSpaceDN/>
        <w:bidi w:val="0"/>
        <w:adjustRightInd/>
        <w:snapToGrid/>
        <w:spacing w:line="440" w:lineRule="exact"/>
        <w:ind w:firstLine="440"/>
        <w:textAlignment w:val="auto"/>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0" w:firstLineChars="0"/>
        <w:textAlignment w:val="auto"/>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keepNext w:val="0"/>
        <w:keepLines w:val="0"/>
        <w:pageBreakBefore w:val="0"/>
        <w:kinsoku/>
        <w:wordWrap/>
        <w:overflowPunct/>
        <w:topLinePunct w:val="0"/>
        <w:autoSpaceDE/>
        <w:autoSpaceDN/>
        <w:bidi w:val="0"/>
        <w:adjustRightInd/>
        <w:snapToGrid/>
        <w:spacing w:line="440" w:lineRule="exact"/>
        <w:ind w:firstLine="440"/>
        <w:textAlignment w:val="auto"/>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4、租赁期限</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4.1租赁期限</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固定租金。</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w:t>
      </w:r>
      <w:r>
        <w:rPr>
          <w:rFonts w:hint="eastAsia" w:ascii="Arial" w:hAnsi="Arial" w:eastAsia="宋体" w:cs="宋体"/>
          <w:sz w:val="22"/>
          <w:szCs w:val="22"/>
        </w:rPr>
        <w:t>【附件三】第五条约定的计租期内首月月固定租金金额（分摊前）</w:t>
      </w:r>
      <w:r>
        <w:rPr>
          <w:rFonts w:hint="eastAsia" w:ascii="宋体" w:hAnsi="宋体" w:eastAsia="宋体" w:cs="宋体"/>
          <w:color w:val="000000"/>
          <w:sz w:val="22"/>
          <w:szCs w:val="22"/>
        </w:rPr>
        <w:t>。“X”是指合同终止时尚未履行的计租期剩余月数（不足一月的按一月计算）；“Y”是指为约定计租期的总月数。</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4.3续租</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5、租金、其他费用及支付方式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在本合同项下，甲方租金计收方式为：“固定租金”与“提成租金”两者取其高，具体如下：</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5.1.1固定租金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固定租金按“先付后用”的原则支付。首期固定租金，乙方应在合同约定的交付日前1日内缴纳；除首期固定租金外，乙方应在每一支付周期固定租金起算前15日预付给甲方下个支付周期对应的固定租金。如最后一次固定租金对应期间不满一个完整支付周期的，则其中完整自然月的部分按月固定租金金额收取、不满一个完整自然月的部分按实际天数计收。固定租金标准及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1.2提成租金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5.1.2.1计租期内，提成租金应按照当期营业额全额计提核算，核算后四舍五入以元为单位。乙方应在每一支付周期结束后的10个工作日内向甲方提供能够清楚展示营业额准确数据的报表，并将乙方自行核算的提成租金超过固定租金的差额部分于本期届满后15日内支付给甲方。提成租金计提比例及结算、支付周期详见【附件三】第五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5.1.2.2乙方应在合同签订后【30】日内，开设一个专门的银行账户，作为本合同营业额收入专门账户，对营业额进行管理，并确保该账户不与公司其他资金混同。账户开立后5个工作日内，应当将该账户基本信息报甲方备案。乙方应当保证，本合同下，商铺上发生的所有的营业额收入，均应纳入该专门的银行账户管理，否则视为乙方违约。其他乙方收取的不属于营业额收入的由乙方自行安排账户进行管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5.1.2.3本合同下，乙方向甲方提供显示营业额准确数据的报表时，应当同步提供银行出具的专门账户下的银行账户流水以供甲方核查。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5.1.2.4每季度或年度结算时，甲方可聘请外部专业机构对乙方营业额的完整性和真实性进行一次收入专项审计。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5.1.2.5经甲方核查，营业额数据有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缺漏的部分，乙方应在接到通知后3个工作日内补足提成租金</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并按照缺漏金额的十倍</w:t>
      </w:r>
      <w:r>
        <w:rPr>
          <w:rFonts w:hint="eastAsia" w:ascii="Arial" w:hAnsi="Arial" w:eastAsia="宋体" w:cs="宋体"/>
          <w:sz w:val="22"/>
          <w:szCs w:val="22"/>
          <w:highlight w:val="none"/>
        </w:rPr>
        <w:t>标准向甲方支付违约金</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4本合同项下，乙方应向甲方支付的固定租金、提成租金（以下统称为“租金”），应由乙方通过银行转账的方式向甲方指定账户支付，甲方指定账户为：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银行账号：431020100101554670</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除固定租金、提成租金外，乙方应向甲方支付的履约保证金、综合管理费、能耗费用、垃圾清运费等其他所有费用，应由乙方通过银行转账的方式向甲方指定账户支付，甲方指定账户为：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银行账号：431020100101535619</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固定租金、提成租金、综合管理费、能耗费用、垃圾清运费等所有费用均为含增值税金额，税率按国家相关标准执行。如因国家相关法律、法规、政策调整，使固定租金、提成租金、综合管理费以及其他费用所适用的增值税税率提高的，增加部分的税金由乙方向甲方另行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5.8如乙方欠付固定租金、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6、履约保证金及其支付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日，甲方有权直接解除合同并另行出租、使用该商铺，乙方应承担第14.3款约定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440" w:firstLine="0" w:firstLineChars="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.6.3</w:t>
      </w:r>
      <w:r>
        <w:rPr>
          <w:rFonts w:hint="eastAsia" w:ascii="Arial" w:hAnsi="Arial" w:eastAsia="宋体" w:cs="宋体"/>
          <w:sz w:val="22"/>
          <w:szCs w:val="22"/>
        </w:rPr>
        <w:t>完成变更或注销以该商铺为注册地址的营业执照及其他全部证照；</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.6.6</w:t>
      </w:r>
      <w:r>
        <w:rPr>
          <w:rFonts w:hint="eastAsia" w:ascii="Arial" w:hAnsi="Arial" w:eastAsia="宋体" w:cs="宋体"/>
          <w:sz w:val="22"/>
          <w:szCs w:val="22"/>
        </w:rPr>
        <w:t>乙方就其于本合同项下应履行的其他义务全部履行完毕。</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7、商铺的交付</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7.1交付日</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pPr>
        <w:pStyle w:val="14"/>
        <w:keepNext w:val="0"/>
        <w:keepLines w:val="0"/>
        <w:pageBreakBefore w:val="0"/>
        <w:numPr>
          <w:ilvl w:val="255"/>
          <w:numId w:val="0"/>
        </w:numPr>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textAlignment w:val="auto"/>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2"/>
        <w:textAlignment w:val="auto"/>
        <w:rPr>
          <w:rFonts w:ascii="宋体" w:hAnsi="宋体" w:eastAsia="宋体" w:cs="宋体"/>
          <w:b/>
          <w:bCs/>
          <w:color w:val="000000"/>
          <w:sz w:val="22"/>
          <w:szCs w:val="22"/>
        </w:rPr>
      </w:pPr>
      <w:r>
        <w:rPr>
          <w:rFonts w:hint="eastAsia" w:ascii="宋体" w:hAnsi="宋体" w:eastAsia="宋体" w:cs="宋体"/>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bCs/>
          <w:color w:val="000000"/>
          <w:sz w:val="22"/>
          <w:szCs w:val="22"/>
        </w:rPr>
        <w:t>等费用</w:t>
      </w:r>
      <w:r>
        <w:rPr>
          <w:rFonts w:hint="eastAsia" w:ascii="宋体" w:hAnsi="宋体" w:eastAsia="宋体" w:cs="宋体"/>
          <w:b/>
          <w:bCs/>
          <w:color w:val="000000"/>
          <w:sz w:val="22"/>
          <w:szCs w:val="22"/>
        </w:rPr>
        <w:t>，双方互不承担违约或赔偿的责任。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宋体" w:hAnsi="宋体" w:eastAsia="宋体" w:cs="宋体"/>
          <w:sz w:val="22"/>
          <w:szCs w:val="22"/>
        </w:rPr>
      </w:pPr>
      <w:r>
        <w:rPr>
          <w:rFonts w:hint="eastAsia" w:ascii="宋体" w:hAnsi="宋体" w:eastAsia="宋体" w:cs="宋体"/>
          <w:sz w:val="22"/>
          <w:szCs w:val="22"/>
        </w:rPr>
        <w:t>7.3交付手续</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附件三】第五条约定的计租期内首月月固定租金标准（分摊前）的3‰向甲方支付违约金。逾期收房超过30日的，将视为乙方根本违约，甲方有权解除合同并根据合同约定追究乙方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pPr>
        <w:pStyle w:val="14"/>
        <w:keepNext w:val="0"/>
        <w:keepLines w:val="0"/>
        <w:pageBreakBefore w:val="0"/>
        <w:kinsoku/>
        <w:wordWrap/>
        <w:overflowPunct/>
        <w:topLinePunct w:val="0"/>
        <w:autoSpaceDE/>
        <w:autoSpaceDN/>
        <w:bidi w:val="0"/>
        <w:adjustRightInd/>
        <w:snapToGrid/>
        <w:spacing w:before="120" w:beforeLines="50" w:line="440" w:lineRule="exact"/>
        <w:ind w:firstLine="440" w:firstLineChars="0"/>
        <w:textAlignment w:val="auto"/>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8、商铺的装修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0" w:firstLineChars="0"/>
        <w:textAlignment w:val="auto"/>
        <w:rPr>
          <w:rFonts w:ascii="Arial" w:hAnsi="Arial" w:eastAsia="宋体" w:cs="Arial"/>
          <w:sz w:val="22"/>
          <w:szCs w:val="22"/>
        </w:rPr>
      </w:pPr>
      <w:r>
        <w:rPr>
          <w:rFonts w:hint="eastAsia" w:ascii="Arial" w:hAnsi="Arial" w:eastAsia="宋体" w:cs="宋体"/>
          <w:b/>
          <w:sz w:val="22"/>
          <w:szCs w:val="22"/>
        </w:rPr>
        <w:t>9、开业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按照【附件三】第五条约定的计租期内首月月固定租金标准（分摊前）的3‰</w:t>
      </w:r>
      <w:r>
        <w:rPr>
          <w:rFonts w:hint="eastAsia" w:ascii="Arial" w:hAnsi="Arial" w:eastAsia="宋体" w:cs="Arial"/>
          <w:sz w:val="22"/>
          <w:szCs w:val="22"/>
        </w:rPr>
        <w:t>向甲方累计支付违约金直至乙方按本合同约定条件开业。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pPr>
        <w:pStyle w:val="4"/>
        <w:keepNext w:val="0"/>
        <w:keepLines w:val="0"/>
        <w:pageBreakBefore w:val="0"/>
        <w:kinsoku/>
        <w:wordWrap/>
        <w:overflowPunct/>
        <w:topLinePunct w:val="0"/>
        <w:autoSpaceDE/>
        <w:autoSpaceDN/>
        <w:bidi w:val="0"/>
        <w:adjustRightInd/>
        <w:snapToGrid/>
        <w:spacing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的标准向甲方支付违约金，直至该等违约行为完全纠正完毕之日，同时乙方还应赔偿甲方由此遭受的一切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ascii="Arial" w:hAnsi="Arial" w:eastAsia="宋体" w:cs="宋体"/>
          <w:b/>
          <w:bCs/>
          <w:sz w:val="22"/>
          <w:szCs w:val="22"/>
        </w:rPr>
        <w:t>1</w:t>
      </w:r>
      <w:r>
        <w:rPr>
          <w:rFonts w:hint="eastAsia" w:ascii="Arial" w:hAnsi="Arial" w:eastAsia="宋体" w:cs="宋体"/>
          <w:b/>
          <w:bCs/>
          <w:sz w:val="22"/>
          <w:szCs w:val="22"/>
        </w:rPr>
        <w:t>4</w:t>
      </w:r>
      <w:r>
        <w:rPr>
          <w:rFonts w:ascii="Arial" w:hAnsi="Arial" w:eastAsia="宋体" w:cs="宋体"/>
          <w:b/>
          <w:bCs/>
          <w:sz w:val="22"/>
          <w:szCs w:val="22"/>
        </w:rPr>
        <w:t>.</w:t>
      </w:r>
      <w:r>
        <w:rPr>
          <w:rFonts w:hint="eastAsia" w:ascii="Arial" w:hAnsi="Arial" w:eastAsia="宋体" w:cs="宋体"/>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15.3发生以下情形之一的，甲方有权单方解除合同并根据合同约定追究乙方违约责任：</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乙方未按照本合同按时缴纳租金、综合管理费、垃圾清运费、能耗费用、履约保证金或其他任何款项，逾期超过30日的；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5.3.2</w:t>
      </w:r>
      <w:r>
        <w:rPr>
          <w:rFonts w:hint="eastAsia" w:ascii="Arial" w:hAnsi="Arial" w:eastAsia="宋体" w:cs="宋体"/>
          <w:sz w:val="22"/>
          <w:szCs w:val="22"/>
        </w:rPr>
        <w:t>乙方无故逾期收房超过30日的；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5.3.3</w:t>
      </w:r>
      <w:r>
        <w:rPr>
          <w:rFonts w:hint="eastAsia" w:ascii="Arial" w:hAnsi="Arial" w:eastAsia="宋体" w:cs="宋体"/>
          <w:sz w:val="22"/>
          <w:szCs w:val="22"/>
        </w:rPr>
        <w:t>未经甲方书面同意，乙方擅自改变商铺的规划用途、使用用途、营业范围的；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5.3.4</w:t>
      </w:r>
      <w:r>
        <w:rPr>
          <w:rFonts w:hint="eastAsia" w:ascii="Arial" w:hAnsi="Arial" w:eastAsia="宋体" w:cs="宋体"/>
          <w:sz w:val="22"/>
          <w:szCs w:val="22"/>
        </w:rPr>
        <w:t>在双方办理该商铺交付手续后7日内乙方没有进场装修，或因乙方原因导致该商铺逾期超过60日仍未能开业的；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pPr>
        <w:keepNext w:val="0"/>
        <w:keepLines w:val="0"/>
        <w:pageBreakBefore w:val="0"/>
        <w:numPr>
          <w:ilvl w:val="0"/>
          <w:numId w:val="0"/>
        </w:numPr>
        <w:kinsoku/>
        <w:wordWrap/>
        <w:overflowPunct/>
        <w:topLinePunct w:val="0"/>
        <w:autoSpaceDE/>
        <w:autoSpaceDN/>
        <w:bidi w:val="0"/>
        <w:adjustRightInd/>
        <w:snapToGrid/>
        <w:spacing w:before="120" w:beforeLines="50" w:after="120" w:afterLines="50" w:line="440" w:lineRule="exact"/>
        <w:ind w:left="0" w:firstLine="440" w:firstLineChars="200"/>
        <w:textAlignment w:val="auto"/>
        <w:rPr>
          <w:rFonts w:hint="eastAsia"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5.3.11</w:t>
      </w:r>
      <w:r>
        <w:rPr>
          <w:rFonts w:hint="eastAsia" w:ascii="Arial" w:hAnsi="Arial" w:eastAsia="宋体" w:cs="宋体"/>
          <w:sz w:val="22"/>
          <w:szCs w:val="22"/>
        </w:rPr>
        <w:t>除非法律法规另有规定或本合同另有约定，因乙方自身原因停止营业持续超过24小时的；</w:t>
      </w:r>
    </w:p>
    <w:p>
      <w:pPr>
        <w:spacing w:before="156" w:beforeLines="50" w:after="156" w:afterLines="50" w:line="440" w:lineRule="exact"/>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15.3.12</w:t>
      </w: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存在</w:t>
      </w:r>
      <w:r>
        <w:rPr>
          <w:rFonts w:hint="eastAsia" w:ascii="Arial" w:hAnsi="Arial" w:eastAsia="宋体" w:cs="宋体"/>
          <w:sz w:val="22"/>
          <w:szCs w:val="22"/>
          <w:highlight w:val="none"/>
        </w:rPr>
        <w:t>营业额数据有</w:t>
      </w:r>
      <w:r>
        <w:rPr>
          <w:rFonts w:hint="eastAsia" w:ascii="Arial" w:hAnsi="Arial" w:eastAsia="宋体" w:cs="宋体"/>
          <w:sz w:val="22"/>
          <w:szCs w:val="22"/>
          <w:highlight w:val="none"/>
          <w:lang w:val="en-US" w:eastAsia="zh-CN"/>
        </w:rPr>
        <w:t>造假、</w:t>
      </w:r>
      <w:r>
        <w:rPr>
          <w:rFonts w:hint="eastAsia" w:ascii="Arial" w:hAnsi="Arial" w:eastAsia="宋体" w:cs="宋体"/>
          <w:sz w:val="22"/>
          <w:szCs w:val="22"/>
          <w:highlight w:val="none"/>
        </w:rPr>
        <w:t>缺漏的；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3</w:t>
      </w:r>
      <w:r>
        <w:rPr>
          <w:rFonts w:hint="eastAsia" w:ascii="Arial" w:hAnsi="Arial" w:eastAsia="宋体" w:cs="宋体"/>
          <w:sz w:val="22"/>
          <w:szCs w:val="22"/>
        </w:rPr>
        <w:t>乙方未能按本合同第10.4条的约定履行其对该商铺的修缮义务的；</w:t>
      </w:r>
    </w:p>
    <w:p>
      <w:pPr>
        <w:spacing w:before="156" w:beforeLines="50" w:after="156" w:afterLines="50" w:line="440" w:lineRule="exact"/>
        <w:ind w:firstLine="440" w:firstLineChars="200"/>
        <w:rPr>
          <w:rFonts w:hint="eastAsia"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4</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w:t>
      </w:r>
      <w:r>
        <w:rPr>
          <w:rFonts w:hint="eastAsia" w:ascii="Arial" w:hAnsi="Arial" w:eastAsia="宋体" w:cs="宋体"/>
          <w:sz w:val="22"/>
          <w:szCs w:val="22"/>
          <w:lang w:val="en-US" w:eastAsia="zh-CN"/>
        </w:rPr>
        <w:t>5</w:t>
      </w:r>
      <w:r>
        <w:rPr>
          <w:rFonts w:hint="eastAsia" w:ascii="Arial" w:hAnsi="Arial" w:eastAsia="宋体" w:cs="宋体"/>
          <w:sz w:val="22"/>
          <w:szCs w:val="22"/>
        </w:rPr>
        <w:t>法律、法规或本合同其他条款允许甲方单方提前解除合同的其他情况。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16.1各方确认，在下述情况下，甲方不承担任何责任，且本合同项下之租金、综合管理费及其它费用不得减免或中止支付：</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6.1.1</w:t>
      </w:r>
      <w:r>
        <w:rPr>
          <w:rFonts w:hint="eastAsia" w:ascii="Arial" w:hAnsi="Arial" w:eastAsia="宋体" w:cs="宋体"/>
          <w:b/>
          <w:bCs/>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6.1.2</w:t>
      </w:r>
      <w:r>
        <w:rPr>
          <w:rFonts w:hint="eastAsia" w:ascii="Arial" w:hAnsi="Arial" w:eastAsia="宋体" w:cs="宋体"/>
          <w:b/>
          <w:bCs/>
          <w:sz w:val="22"/>
          <w:szCs w:val="22"/>
        </w:rPr>
        <w:t>由于乙方或第三者的原因对乙方或第三者造成的任何损失和伤害。</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6.1.3</w:t>
      </w:r>
      <w:r>
        <w:rPr>
          <w:rFonts w:hint="eastAsia" w:ascii="Arial" w:hAnsi="Arial" w:eastAsia="宋体" w:cs="宋体"/>
          <w:b/>
          <w:bCs/>
          <w:sz w:val="22"/>
          <w:szCs w:val="22"/>
        </w:rPr>
        <w:t>项目内发生的盗窃、抢劫、抢夺、诈骗、恐怖分子制造的恐怖行为等刑事、治安案件造成乙方损失的。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6.1.4</w:t>
      </w:r>
      <w:r>
        <w:rPr>
          <w:rFonts w:hint="eastAsia" w:ascii="Arial" w:hAnsi="Arial" w:eastAsia="宋体" w:cs="宋体"/>
          <w:b/>
          <w:bCs/>
          <w:sz w:val="22"/>
          <w:szCs w:val="22"/>
        </w:rPr>
        <w:t>因不可抗力或者政府行为等不可控制的原因导致甲方违反本合同的约定给乙方带来不便或损失的。</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6.2.1</w:t>
      </w:r>
      <w:r>
        <w:rPr>
          <w:rFonts w:hint="eastAsia" w:ascii="Arial" w:hAnsi="Arial" w:eastAsia="宋体" w:cs="宋体"/>
          <w:b/>
          <w:bCs/>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keepNext w:val="0"/>
        <w:keepLines w:val="0"/>
        <w:pageBreakBefore w:val="0"/>
        <w:widowControl/>
        <w:numPr>
          <w:ilvl w:val="255"/>
          <w:numId w:val="0"/>
        </w:numPr>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6.2.2</w:t>
      </w:r>
      <w:r>
        <w:rPr>
          <w:rFonts w:hint="eastAsia" w:ascii="Arial" w:hAnsi="Arial" w:eastAsia="宋体" w:cs="宋体"/>
          <w:b/>
          <w:bCs/>
          <w:sz w:val="22"/>
          <w:szCs w:val="22"/>
        </w:rPr>
        <w:t>如上述情况是因甲方故意或重大过失直接引起的，甲方应在法律规定和本合同约定的责任范围内赔偿乙方因此而遭受的直接经济损失。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keepNext w:val="0"/>
        <w:keepLines w:val="0"/>
        <w:pageBreakBefore w:val="0"/>
        <w:numPr>
          <w:ilvl w:val="255"/>
          <w:numId w:val="0"/>
        </w:numPr>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租赁期限内，甲方如出卖商铺的，</w:t>
      </w:r>
      <w:r>
        <w:rPr>
          <w:rFonts w:hint="eastAsia" w:ascii="Arial" w:hAnsi="Arial" w:eastAsia="宋体" w:cs="宋体"/>
          <w:b/>
          <w:sz w:val="22"/>
          <w:szCs w:val="22"/>
        </w:rPr>
        <w:t>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本行以下无正文，为签署页</w:t>
      </w:r>
      <w:r>
        <w:rPr>
          <w:rFonts w:hint="eastAsia" w:ascii="宋体" w:hAnsi="宋体" w:eastAsia="宋体" w:cs="宋体"/>
          <w:sz w:val="22"/>
          <w:szCs w:val="22"/>
          <w:lang w:eastAsia="zh-CN"/>
        </w:rPr>
        <w:t>）</w:t>
      </w:r>
    </w:p>
    <w:p>
      <w:pPr>
        <w:rPr>
          <w:rFonts w:hint="eastAsia" w:ascii="Arial" w:hAnsi="Arial" w:eastAsia="宋体" w:cs="宋体"/>
          <w:b/>
          <w:bCs/>
          <w:sz w:val="22"/>
          <w:szCs w:val="22"/>
        </w:rPr>
      </w:pPr>
      <w:r>
        <w:rPr>
          <w:rFonts w:hint="eastAsia" w:ascii="Arial" w:hAnsi="Arial" w:eastAsia="宋体" w:cs="宋体"/>
          <w:b/>
          <w:bCs/>
          <w:sz w:val="22"/>
          <w:szCs w:val="22"/>
        </w:rPr>
        <w:br w:type="page"/>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甲方（盖章）：</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textAlignment w:val="auto"/>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r>
        <w:rPr>
          <w:rFonts w:hint="eastAsia" w:ascii="Arial" w:hAnsi="Arial" w:eastAsia="宋体" w:cs="宋体"/>
          <w:sz w:val="22"/>
          <w:szCs w:val="22"/>
        </w:rPr>
        <w:t>法定代表人或授权代表（签字）：</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0" w:firstLineChars="200"/>
        <w:textAlignment w:val="auto"/>
        <w:rPr>
          <w:rFonts w:ascii="Arial" w:hAnsi="Arial" w:eastAsia="宋体" w:cs="宋体"/>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ind w:firstLine="442" w:firstLineChars="200"/>
        <w:jc w:val="center"/>
        <w:textAlignment w:val="auto"/>
        <w:rPr>
          <w:rFonts w:ascii="Arial" w:hAnsi="Arial" w:eastAsia="宋体" w:cs="宋体"/>
          <w:b/>
          <w:bCs/>
          <w:sz w:val="22"/>
          <w:szCs w:val="22"/>
        </w:rPr>
      </w:pP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附件五：交付标准</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附件七：阳光合作协议</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ascii="Arial" w:hAnsi="Arial" w:eastAsia="宋体" w:cs="宋体"/>
          <w:b/>
          <w:sz w:val="22"/>
          <w:szCs w:val="22"/>
        </w:rPr>
      </w:pPr>
      <w:r>
        <w:rPr>
          <w:rFonts w:hint="eastAsia" w:ascii="Arial" w:hAnsi="Arial" w:eastAsia="宋体" w:cs="宋体"/>
          <w:b/>
          <w:sz w:val="22"/>
          <w:szCs w:val="22"/>
        </w:rPr>
        <w:t>附件九：开业确认书</w:t>
      </w:r>
    </w:p>
    <w:p>
      <w:pPr>
        <w:keepNext w:val="0"/>
        <w:keepLines w:val="0"/>
        <w:pageBreakBefore w:val="0"/>
        <w:kinsoku/>
        <w:wordWrap/>
        <w:overflowPunct/>
        <w:topLinePunct w:val="0"/>
        <w:autoSpaceDE/>
        <w:autoSpaceDN/>
        <w:bidi w:val="0"/>
        <w:adjustRightInd/>
        <w:snapToGrid/>
        <w:spacing w:before="120" w:beforeLines="50" w:after="120" w:afterLines="50" w:line="440" w:lineRule="exact"/>
        <w:textAlignment w:val="auto"/>
        <w:outlineLvl w:val="0"/>
        <w:rPr>
          <w:rFonts w:hint="eastAsia" w:ascii="Arial" w:hAnsi="Arial" w:eastAsia="宋体" w:cs="宋体"/>
          <w:b/>
          <w:sz w:val="22"/>
          <w:szCs w:val="22"/>
        </w:rPr>
        <w:sectPr>
          <w:footerReference r:id="rId4"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pPr>
        <w:spacing w:before="120" w:beforeLines="50" w:after="120" w:afterLines="50"/>
        <w:outlineLvl w:val="0"/>
        <w:rPr>
          <w:rFonts w:hint="eastAsia" w:ascii="Arial" w:hAnsi="Arial" w:eastAsia="宋体" w:cs="宋体"/>
          <w:b/>
          <w:sz w:val="22"/>
          <w:szCs w:val="22"/>
        </w:rPr>
        <w:sectPr>
          <w:footerReference r:id="rId5"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pPr>
        <w:spacing w:before="120" w:beforeLines="50" w:after="120" w:afterLines="50"/>
        <w:outlineLvl w:val="0"/>
        <w:rPr>
          <w:rFonts w:hint="eastAsia" w:ascii="Arial" w:hAnsi="Arial" w:eastAsia="宋体" w:cs="宋体"/>
          <w:b/>
          <w:sz w:val="22"/>
          <w:szCs w:val="22"/>
        </w:rPr>
        <w:sectPr>
          <w:footerReference r:id="rId6"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pPr>
        <w:spacing w:before="120" w:beforeLines="50" w:after="120" w:afterLines="50"/>
        <w:outlineLvl w:val="0"/>
        <w:rPr>
          <w:rFonts w:ascii="Arial" w:hAnsi="Arial" w:eastAsia="宋体" w:cs="宋体"/>
          <w:b/>
          <w:sz w:val="22"/>
          <w:szCs w:val="22"/>
        </w:r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双方约定：对乙方根据合同约定享有的【】个月的运营培育期的权益，在【】个月内进行分摊并实现，乙方需在分摊期间内，按照权益平均分摊后的租金标准向甲方支付固定租金（分摊期间详见第五条）。</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p>
        </w:tc>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pPr>
              <w:spacing w:before="120" w:beforeLines="50" w:after="120" w:afterLines="50"/>
              <w:rPr>
                <w:rFonts w:ascii="Arial" w:hAnsi="Arial" w:eastAsia="宋体" w:cs="宋体"/>
                <w:snapToGrid w:val="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pPr>
              <w:spacing w:before="120" w:beforeLines="50" w:after="120" w:afterLines="50"/>
              <w:rPr>
                <w:rFonts w:ascii="Arial" w:hAnsi="Arial" w:eastAsia="宋体" w:cs="宋体"/>
                <w:snapToGrid w:val="0"/>
                <w:kern w:val="0"/>
                <w:sz w:val="22"/>
                <w:szCs w:val="22"/>
              </w:rPr>
            </w:pPr>
          </w:p>
        </w:tc>
      </w:tr>
    </w:tbl>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7"/>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pPr>
        <w:numPr>
          <w:ilvl w:val="0"/>
          <w:numId w:val="6"/>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租金标准、支付周期</w:t>
      </w:r>
    </w:p>
    <w:tbl>
      <w:tblPr>
        <w:tblStyle w:val="9"/>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2" w:hRule="atLeast"/>
          <w:jc w:val="center"/>
        </w:trPr>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固定租金单价（元/㎡/月）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月度固定租金标准（元/月）</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1326" w:type="dxa"/>
            <w:vAlign w:val="center"/>
          </w:tcPr>
          <w:p>
            <w:pPr>
              <w:jc w:val="center"/>
              <w:rPr>
                <w:rFonts w:ascii="宋体" w:hAnsi="宋体" w:eastAsia="宋体" w:cs="宋体"/>
                <w:b/>
                <w:bCs/>
                <w:sz w:val="18"/>
                <w:szCs w:val="18"/>
              </w:rPr>
            </w:pPr>
            <w:r>
              <w:rPr>
                <w:rFonts w:hint="eastAsia" w:ascii="宋体" w:hAnsi="宋体" w:eastAsia="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c>
          <w:tcPr>
            <w:tcW w:w="1326" w:type="dxa"/>
            <w:vAlign w:val="center"/>
          </w:tcPr>
          <w:p>
            <w:pPr>
              <w:jc w:val="center"/>
              <w:rPr>
                <w:rFonts w:ascii="宋体" w:hAnsi="宋体" w:eastAsia="宋体" w:cs="宋体"/>
                <w:b/>
                <w:bCs/>
                <w:sz w:val="18"/>
                <w:szCs w:val="18"/>
              </w:rPr>
            </w:pPr>
          </w:p>
        </w:tc>
      </w:tr>
    </w:tbl>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left="440"/>
        <w:rPr>
          <w:rFonts w:ascii="Arial" w:hAnsi="Arial" w:eastAsia="宋体" w:cs="宋体"/>
          <w:snapToGrid w:val="0"/>
          <w:kern w:val="0"/>
          <w:sz w:val="22"/>
          <w:szCs w:val="22"/>
        </w:rPr>
      </w:pP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pPr>
        <w:spacing w:before="120" w:beforeLines="50" w:after="120" w:afterLines="50"/>
        <w:ind w:firstLine="440" w:firstLineChars="200"/>
        <w:rPr>
          <w:rFonts w:ascii="Arial" w:hAnsi="Arial" w:eastAsia="宋体" w:cs="宋体"/>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7"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pPr>
        <w:spacing w:before="120" w:beforeLines="50" w:after="120" w:afterLines="50"/>
        <w:rPr>
          <w:rFonts w:hint="eastAsia" w:ascii="Arial" w:hAnsi="Arial" w:eastAsia="宋体" w:cs="宋体"/>
          <w:b/>
          <w:snapToGrid w:val="0"/>
          <w:kern w:val="0"/>
          <w:sz w:val="22"/>
          <w:szCs w:val="22"/>
        </w:rPr>
        <w:sectPr>
          <w:footerReference r:id="rId8"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pPr>
        <w:spacing w:before="120" w:beforeLines="50" w:after="120" w:afterLines="50"/>
        <w:rPr>
          <w:rFonts w:hint="eastAsia" w:ascii="Arial" w:hAnsi="Arial" w:eastAsia="宋体" w:cs="宋体"/>
          <w:b/>
          <w:snapToGrid w:val="0"/>
          <w:kern w:val="0"/>
          <w:sz w:val="22"/>
          <w:szCs w:val="22"/>
        </w:rPr>
        <w:sectPr>
          <w:footerReference r:id="rId9"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pPr>
        <w:ind w:firstLine="392" w:firstLineChars="200"/>
        <w:rPr>
          <w:rFonts w:cs="宋体"/>
          <w:spacing w:val="-2"/>
          <w:sz w:val="20"/>
          <w:szCs w:val="20"/>
        </w:rPr>
      </w:pPr>
    </w:p>
    <w:p>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pPr>
        <w:ind w:firstLine="392" w:firstLineChars="200"/>
        <w:rPr>
          <w:rFonts w:cs="宋体"/>
          <w:spacing w:val="-2"/>
          <w:sz w:val="20"/>
          <w:szCs w:val="20"/>
          <w:u w:val="single"/>
        </w:rPr>
      </w:pPr>
    </w:p>
    <w:p>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rPr>
      </w:pPr>
      <w:r>
        <w:rPr>
          <w:rFonts w:hint="eastAsia" w:cs="宋体"/>
          <w:sz w:val="20"/>
          <w:szCs w:val="20"/>
        </w:rPr>
        <w:t>（四）乙方生产经营应当符合食品安全标准，并符合下列要求：</w:t>
      </w:r>
    </w:p>
    <w:p>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pPr>
        <w:ind w:firstLine="400" w:firstLineChars="200"/>
        <w:rPr>
          <w:sz w:val="20"/>
          <w:szCs w:val="20"/>
        </w:rPr>
      </w:pPr>
      <w:r>
        <w:rPr>
          <w:rFonts w:hint="eastAsia" w:cs="宋体"/>
          <w:sz w:val="20"/>
          <w:szCs w:val="20"/>
        </w:rPr>
        <w:t>（五）禁止乙方生产经营以下产品：</w:t>
      </w:r>
    </w:p>
    <w:p>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pPr>
        <w:ind w:firstLine="400" w:firstLineChars="200"/>
        <w:rPr>
          <w:sz w:val="20"/>
          <w:szCs w:val="20"/>
        </w:rPr>
      </w:pPr>
      <w:r>
        <w:rPr>
          <w:rFonts w:hint="eastAsia" w:cs="宋体"/>
          <w:sz w:val="20"/>
          <w:szCs w:val="20"/>
        </w:rPr>
        <w:t>（六）对乙方食品采购、贮存、检验的要求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pPr>
        <w:ind w:firstLine="400" w:firstLineChars="200"/>
        <w:rPr>
          <w:sz w:val="20"/>
          <w:szCs w:val="20"/>
        </w:rPr>
      </w:pPr>
      <w:r>
        <w:rPr>
          <w:rFonts w:hint="eastAsia" w:cs="宋体"/>
          <w:sz w:val="20"/>
          <w:szCs w:val="20"/>
        </w:rPr>
        <w:t>（七）对乙方从业人员的要求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rPr>
      </w:pPr>
      <w:r>
        <w:rPr>
          <w:rFonts w:hint="eastAsia" w:cs="宋体"/>
          <w:sz w:val="20"/>
          <w:szCs w:val="20"/>
        </w:rPr>
        <w:t>（八）对乙方餐具、后厨和环境卫生的要求</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pPr>
        <w:ind w:firstLine="400" w:firstLineChars="200"/>
        <w:rPr>
          <w:sz w:val="20"/>
          <w:szCs w:val="20"/>
        </w:rPr>
      </w:pPr>
      <w:r>
        <w:rPr>
          <w:rFonts w:hint="eastAsia" w:cs="宋体"/>
          <w:sz w:val="20"/>
          <w:szCs w:val="20"/>
        </w:rPr>
        <w:t>（九）食品安全事故处置</w:t>
      </w:r>
    </w:p>
    <w:p>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rPr>
      </w:pPr>
      <w:r>
        <w:rPr>
          <w:rFonts w:hint="eastAsia" w:cs="宋体"/>
          <w:sz w:val="20"/>
          <w:szCs w:val="20"/>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ascii="Arial" w:hAnsi="Arial" w:eastAsia="宋体" w:cs="宋体"/>
          <w:b/>
          <w:snapToGrid w:val="0"/>
          <w:kern w:val="0"/>
          <w:sz w:val="22"/>
          <w:szCs w:val="22"/>
        </w:rPr>
      </w:pPr>
    </w:p>
    <w:p>
      <w:pPr>
        <w:spacing w:before="120" w:beforeLines="50" w:after="120" w:afterLines="50"/>
        <w:rPr>
          <w:rFonts w:hint="eastAsia" w:ascii="Arial" w:hAnsi="Arial" w:eastAsia="宋体" w:cs="宋体"/>
          <w:b/>
          <w:snapToGrid w:val="0"/>
          <w:kern w:val="0"/>
          <w:sz w:val="22"/>
          <w:szCs w:val="22"/>
        </w:rPr>
        <w:sectPr>
          <w:footerReference r:id="rId10" w:type="default"/>
          <w:pgSz w:w="11906" w:h="16838"/>
          <w:pgMar w:top="1440" w:right="1417" w:bottom="1440" w:left="1417" w:header="708" w:footer="709" w:gutter="0"/>
          <w:pgNumType w:start="1"/>
          <w:cols w:space="720" w:num="1"/>
          <w:docGrid w:linePitch="360" w:charSpace="0"/>
        </w:sectPr>
      </w:pPr>
    </w:p>
    <w:p>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pPr>
        <w:adjustRightInd w:val="0"/>
        <w:snapToGrid w:val="0"/>
        <w:jc w:val="center"/>
        <w:rPr>
          <w:rFonts w:ascii="宋体" w:hAnsi="宋体"/>
          <w:b/>
        </w:rPr>
      </w:pPr>
      <w:r>
        <w:rPr>
          <w:rFonts w:hint="eastAsia" w:ascii="宋体" w:hAnsi="宋体"/>
          <w:b/>
        </w:rPr>
        <w:t>阳光合作协议</w:t>
      </w:r>
    </w:p>
    <w:p>
      <w:pPr>
        <w:adjustRightInd w:val="0"/>
        <w:snapToGrid w:val="0"/>
        <w:rPr>
          <w:rFonts w:ascii="宋体" w:hAnsi="宋体"/>
          <w:sz w:val="20"/>
          <w:szCs w:val="20"/>
        </w:rPr>
      </w:pPr>
      <w:r>
        <w:rPr>
          <w:rFonts w:hint="eastAsia" w:ascii="宋体" w:hAnsi="宋体"/>
          <w:sz w:val="20"/>
          <w:szCs w:val="20"/>
        </w:rPr>
        <w:t>甲方：    </w:t>
      </w:r>
    </w:p>
    <w:p>
      <w:pPr>
        <w:adjustRightInd w:val="0"/>
        <w:snapToGrid w:val="0"/>
        <w:rPr>
          <w:rFonts w:ascii="宋体" w:hAnsi="宋体"/>
          <w:sz w:val="20"/>
          <w:szCs w:val="20"/>
        </w:rPr>
      </w:pPr>
      <w:r>
        <w:rPr>
          <w:rFonts w:hint="eastAsia" w:ascii="宋体" w:hAnsi="宋体"/>
          <w:sz w:val="20"/>
          <w:szCs w:val="20"/>
        </w:rPr>
        <w:t xml:space="preserve">乙方：             </w:t>
      </w:r>
    </w:p>
    <w:p>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rPr>
      </w:pPr>
      <w:r>
        <w:rPr>
          <w:rFonts w:hint="eastAsia" w:ascii="宋体" w:hAnsi="宋体"/>
          <w:sz w:val="20"/>
          <w:szCs w:val="20"/>
        </w:rPr>
        <w:t>一、甲方责任</w:t>
      </w:r>
    </w:p>
    <w:p>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二、乙方责任</w:t>
      </w:r>
    </w:p>
    <w:p>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rPr>
      </w:pPr>
      <w:r>
        <w:rPr>
          <w:rFonts w:hint="eastAsia" w:ascii="宋体" w:hAnsi="宋体"/>
          <w:sz w:val="20"/>
          <w:szCs w:val="20"/>
        </w:rPr>
        <w:t xml:space="preserve">举报受理部门： </w:t>
      </w:r>
    </w:p>
    <w:p>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pPr>
        <w:adjustRightInd w:val="0"/>
        <w:snapToGrid w:val="0"/>
        <w:rPr>
          <w:rFonts w:ascii="宋体" w:hAnsi="宋体"/>
          <w:sz w:val="20"/>
          <w:szCs w:val="20"/>
        </w:rPr>
      </w:pPr>
    </w:p>
    <w:p>
      <w:pPr>
        <w:adjustRightInd w:val="0"/>
        <w:snapToGrid w:val="0"/>
        <w:rPr>
          <w:rFonts w:ascii="宋体" w:hAnsi="宋体"/>
          <w:sz w:val="20"/>
          <w:szCs w:val="20"/>
        </w:rPr>
      </w:pPr>
      <w:r>
        <w:rPr>
          <w:rFonts w:hint="eastAsia" w:ascii="宋体" w:hAnsi="宋体"/>
          <w:sz w:val="20"/>
          <w:szCs w:val="20"/>
        </w:rPr>
        <w:t>三、违约责任</w:t>
      </w:r>
    </w:p>
    <w:p>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rPr>
      </w:pPr>
      <w:r>
        <w:rPr>
          <w:rFonts w:ascii="宋体" w:hAnsi="宋体"/>
          <w:sz w:val="20"/>
          <w:szCs w:val="20"/>
        </w:rPr>
        <w:tab/>
      </w:r>
    </w:p>
    <w:p>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pPr>
        <w:rPr>
          <w:rFonts w:ascii="宋体" w:hAnsi="宋体"/>
          <w:sz w:val="20"/>
          <w:szCs w:val="20"/>
        </w:rPr>
      </w:pPr>
      <w:r>
        <w:rPr>
          <w:rFonts w:hint="eastAsia" w:ascii="宋体" w:hAnsi="宋体" w:cs="宋体"/>
          <w:sz w:val="20"/>
          <w:szCs w:val="20"/>
        </w:rPr>
        <w:t>（以下无正文，仅签署）</w:t>
      </w:r>
    </w:p>
    <w:p>
      <w:pPr>
        <w:ind w:firstLine="400" w:firstLineChars="200"/>
        <w:rPr>
          <w:rFonts w:ascii="宋体" w:hAnsi="宋体"/>
          <w:sz w:val="20"/>
          <w:szCs w:val="20"/>
        </w:rPr>
      </w:pPr>
    </w:p>
    <w:p>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pPr>
        <w:ind w:firstLine="400" w:firstLineChars="200"/>
        <w:rPr>
          <w:rFonts w:ascii="宋体" w:hAnsi="宋体"/>
          <w:sz w:val="20"/>
          <w:szCs w:val="20"/>
        </w:rPr>
      </w:pPr>
    </w:p>
    <w:p>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pPr>
        <w:spacing w:before="120" w:beforeLines="50" w:after="120" w:afterLines="50"/>
        <w:outlineLvl w:val="0"/>
        <w:rPr>
          <w:rFonts w:hint="eastAsia" w:ascii="Arial" w:hAnsi="Arial" w:eastAsia="宋体" w:cs="宋体"/>
          <w:b/>
          <w:sz w:val="22"/>
          <w:szCs w:val="22"/>
        </w:rPr>
        <w:sectPr>
          <w:footerReference r:id="rId11"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p>
    <w:p>
      <w:pPr>
        <w:spacing w:line="480" w:lineRule="exact"/>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line="480" w:lineRule="exact"/>
        <w:ind w:firstLine="480" w:firstLineChars="200"/>
        <w:rPr>
          <w:rFonts w:ascii="宋体" w:hAnsi="Calibri" w:eastAsia="宋体"/>
          <w:color w:val="auto"/>
          <w:sz w:val="24"/>
          <w:szCs w:val="22"/>
          <w:shd w:val="clear" w:color="auto" w:fill="FFFFFF"/>
        </w:rPr>
      </w:pPr>
    </w:p>
    <w:p>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spacing w:line="480" w:lineRule="exact"/>
        <w:jc w:val="right"/>
        <w:rPr>
          <w:rFonts w:ascii="Arial" w:hAnsi="Arial" w:eastAsia="宋体" w:cs="宋体"/>
          <w:b/>
          <w:snapToGrid w:val="0"/>
          <w:kern w:val="0"/>
          <w:sz w:val="22"/>
          <w:szCs w:val="22"/>
        </w:rPr>
      </w:pPr>
    </w:p>
    <w:p>
      <w:pPr>
        <w:spacing w:before="120" w:beforeLines="50" w:after="120" w:afterLines="50"/>
        <w:outlineLvl w:val="0"/>
        <w:rPr>
          <w:rFonts w:hint="eastAsia" w:ascii="Arial" w:hAnsi="Arial" w:eastAsia="宋体" w:cs="宋体"/>
          <w:b/>
          <w:sz w:val="22"/>
          <w:szCs w:val="22"/>
        </w:rPr>
        <w:sectPr>
          <w:footerReference r:id="rId12" w:type="default"/>
          <w:pgSz w:w="11906" w:h="16838"/>
          <w:pgMar w:top="1440" w:right="1417" w:bottom="1440" w:left="1417" w:header="708" w:footer="709" w:gutter="0"/>
          <w:pgNumType w:start="1"/>
          <w:cols w:space="720" w:num="1"/>
          <w:docGrid w:linePitch="360" w:charSpace="0"/>
        </w:sectPr>
      </w:pPr>
    </w:p>
    <w:p>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pPr>
        <w:spacing w:line="480" w:lineRule="exact"/>
        <w:ind w:firstLine="480" w:firstLineChars="200"/>
        <w:rPr>
          <w:rFonts w:ascii="宋体" w:hAnsi="宋体" w:eastAsia="宋体"/>
          <w:color w:val="auto"/>
          <w:sz w:val="24"/>
          <w:szCs w:val="22"/>
          <w:shd w:val="clear" w:color="auto" w:fill="FFFFFF"/>
        </w:rPr>
      </w:pP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pPr>
        <w:adjustRightInd w:val="0"/>
        <w:spacing w:line="380" w:lineRule="exact"/>
        <w:textAlignment w:val="baseline"/>
        <w:rPr>
          <w:rFonts w:ascii="Arial" w:hAnsi="Arial" w:eastAsia="宋体" w:cs="宋体"/>
          <w:b/>
          <w:snapToGrid w:val="0"/>
          <w:kern w:val="0"/>
          <w:sz w:val="22"/>
          <w:szCs w:val="22"/>
        </w:rPr>
      </w:pPr>
    </w:p>
    <w:p>
      <w:pPr>
        <w:adjustRightInd w:val="0"/>
        <w:spacing w:line="380" w:lineRule="exact"/>
        <w:textAlignment w:val="baseline"/>
        <w:rPr>
          <w:rFonts w:ascii="Arial" w:hAnsi="Arial" w:eastAsia="宋体" w:cs="宋体"/>
          <w:b/>
          <w:snapToGrid w:val="0"/>
          <w:kern w:val="0"/>
          <w:sz w:val="22"/>
          <w:szCs w:val="22"/>
        </w:rPr>
      </w:pPr>
    </w:p>
    <w:p>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pPr>
        <w:spacing w:before="120" w:beforeLines="50" w:after="120" w:afterLines="50"/>
        <w:outlineLvl w:val="0"/>
        <w:rPr>
          <w:rFonts w:ascii="宋体" w:hAnsi="Calibri" w:eastAsia="宋体"/>
          <w:color w:val="auto"/>
          <w:sz w:val="24"/>
          <w:szCs w:val="22"/>
          <w:shd w:val="clear" w:color="auto" w:fill="FFFFFF"/>
        </w:rPr>
      </w:pPr>
    </w:p>
    <w:p>
      <w:pPr>
        <w:spacing w:before="120" w:beforeLines="50" w:after="120"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pPr>
        <w:pStyle w:val="2"/>
        <w:rPr>
          <w:rFonts w:hint="default"/>
        </w:rPr>
        <w:sectPr>
          <w:footerReference r:id="rId13" w:type="default"/>
          <w:pgSz w:w="11906" w:h="16838"/>
          <w:pgMar w:top="1440" w:right="1800" w:bottom="1440" w:left="1800" w:header="851" w:footer="992" w:gutter="0"/>
          <w:pgNumType w:fmt="decimal"/>
          <w:cols w:space="425" w:num="1"/>
          <w:docGrid w:type="lines" w:linePitch="312" w:charSpace="0"/>
        </w:sectPr>
      </w:pP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footerReference r:id="rId14" w:type="default"/>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EB01CB-C539-4BC7-919F-0BAACF22CF1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AB7C9E-E909-452A-A332-1070869C696D}"/>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2535B3AB-AB54-4D3D-AC9E-FFE30E40AC7D}"/>
  </w:font>
  <w:font w:name="方正仿宋_GB2312">
    <w:panose1 w:val="02000000000000000000"/>
    <w:charset w:val="86"/>
    <w:family w:val="auto"/>
    <w:pitch w:val="default"/>
    <w:sig w:usb0="A00002BF" w:usb1="184F6CFA" w:usb2="00000012" w:usb3="00000000" w:csb0="00040001" w:csb1="00000000"/>
    <w:embedRegular r:id="rId4" w:fontKey="{538AFA93-B157-40EF-8DDC-BF52EA792505}"/>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47955"/>
              <wp:effectExtent l="0" t="0" r="0" b="0"/>
              <wp:wrapNone/>
              <wp:docPr id="15"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7052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NcYmB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WnDlhaeLHH9+PP38f&#10;f31jl8mfPmBFZffhDqYTUpjEDi3Y9CYZbMieHs6eqiEyScmyvLq+JGhJV+XVm+vFImEWjx8HwPhe&#10;ectSUHOgkWUnxf4jxrH0VJJ6OX+rjaG8qIz7K0GYKVMkviPDFMVhM0y0N745kNiepl1zR8vNmfng&#10;yMy0GKcATsHmFOwC6G1H1MrMC8O7XSQSmVvqMMJOjWlMWd20UmkP/jznqsffaP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E1xiYH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vzGKO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M4c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G/MYo7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336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CzJ/GMyQEAAI0DAAAOAAAAZHJzL2Uyb0RvYy54bWytU82O0zAQviPx&#10;DpbvNM12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ItnTB6yo6i7cwnRCCpPWoQWb3qSCDdnS49lSNUQmKVmWl1eLJWeSrsr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LMn8Yz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47955"/>
              <wp:effectExtent l="0" t="0" r="0" b="0"/>
              <wp:wrapNone/>
              <wp:docPr id="4"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438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57gyKyQEAAI0DAAAOAAAAZHJzL2Uyb0RvYy54bWytU82O0zAQviPx&#10;DpbvNM1uC2z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gzAlLA7//8f3+5+/7&#10;X9/YZbKnD1hR1V24hemEFCatQws2vUkFG7Klx7OlaohMUrIsF1eXS84kXZW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DnuDIr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47955"/>
              <wp:effectExtent l="0" t="0" r="0" b="0"/>
              <wp:wrapNone/>
              <wp:docPr id="2"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5408;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F3SuI3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47955"/>
              <wp:effectExtent l="0" t="0" r="0" b="0"/>
              <wp:wrapNone/>
              <wp:docPr id="8"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6432;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xlmSFyQEAAI0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k5jd8LSwI8/vh9//j7+&#10;+sYukz19wIqq7sMdTCekMGkdWrDpTSrYkC09nC1VQ2SSkmV5dX254EzSVXn15nqxSJjF48cBML5X&#10;3rIU1BxoYtlIsf+IcSw9laRezt9qYygvKuP+ShBmyhSJ78gwRXHYDBPtjW8OpLWnYdfc0W5zZj44&#10;8jLtxSmAU7A5BbsAetsRtTLzwvBuF4lE5pY6jLBTY5pSVjdtVFqDP8+56vEvWj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GWZIX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47955"/>
              <wp:effectExtent l="0" t="0" r="0" b="0"/>
              <wp:wrapNone/>
              <wp:docPr id="9"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7456;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9jLYTJAQAAjQ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14935" cy="147955"/>
              <wp:effectExtent l="0" t="0" r="0" b="0"/>
              <wp:wrapNone/>
              <wp:docPr id="10"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8480;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AbU+eF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PIEicsTfz44/vx5+/j&#10;r2/sMvnTB6yo7D7cwXRCCpPYoQWb3iSDDdnTw9lTNUQmKVmWV9eXC84kXZVXb64Xi4RZPH4cAON7&#10;5S1LQc2BRpadFPuPGMfSU0nq5fytNobyojLurwRhpkyR+I4MUxSHzTDR3vjmQGJ7mnbNHS03Z+aD&#10;IzPTYpwCOAWbU7ALoLcdUSszLwzvdpFIZG6pwwg7NaYxZXXTSqU9+POcqx5/o9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BtT54X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47955"/>
              <wp:effectExtent l="0" t="0" r="0" b="0"/>
              <wp:wrapNone/>
              <wp:docPr id="11" name="文本框 3"/>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1.65pt;width:9.05pt;mso-position-horizontal:center;mso-position-horizontal-relative:margin;mso-wrap-style:none;z-index:251669504;mso-width-relative:page;mso-height-relative:page;" filled="f" stroked="f" coordsize="21600,21600" o:gfxdata="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P8ThNEAAAADAQAADwAAAAAAAAABACAAAAAiAAAAZHJzL2Rvd25yZXYu&#10;eG1sUEsBAhQAFAAAAAgAh07iQPWmroTJAQAAjgMAAA4AAAAAAAAAAQAgAAAAIA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3B650ED"/>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6B709C"/>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337B71"/>
    <w:rsid w:val="135C5A87"/>
    <w:rsid w:val="13645F7C"/>
    <w:rsid w:val="13654EEB"/>
    <w:rsid w:val="138D5A83"/>
    <w:rsid w:val="13AA087C"/>
    <w:rsid w:val="14530EC6"/>
    <w:rsid w:val="14553B17"/>
    <w:rsid w:val="14580115"/>
    <w:rsid w:val="14743FE0"/>
    <w:rsid w:val="148C3C1A"/>
    <w:rsid w:val="14E056CD"/>
    <w:rsid w:val="151E65FF"/>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9E14C9"/>
    <w:rsid w:val="2AAB11D0"/>
    <w:rsid w:val="2AE7529F"/>
    <w:rsid w:val="2B5E72FD"/>
    <w:rsid w:val="2B966BC3"/>
    <w:rsid w:val="2C11611D"/>
    <w:rsid w:val="2C543E8F"/>
    <w:rsid w:val="2C714F3D"/>
    <w:rsid w:val="2C7F14A1"/>
    <w:rsid w:val="2C9E1BE4"/>
    <w:rsid w:val="2CD45478"/>
    <w:rsid w:val="2D3A0DF6"/>
    <w:rsid w:val="2D595FCE"/>
    <w:rsid w:val="2DB01173"/>
    <w:rsid w:val="2DC03C5B"/>
    <w:rsid w:val="2DE75388"/>
    <w:rsid w:val="2E0E333C"/>
    <w:rsid w:val="2E8F5DBB"/>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572B3"/>
    <w:rsid w:val="359E7780"/>
    <w:rsid w:val="35E6686D"/>
    <w:rsid w:val="3696566D"/>
    <w:rsid w:val="369A6387"/>
    <w:rsid w:val="36F77EC6"/>
    <w:rsid w:val="376917E5"/>
    <w:rsid w:val="380F5C07"/>
    <w:rsid w:val="38321E16"/>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8B183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4860B5"/>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A4045D"/>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B44EE4"/>
    <w:rsid w:val="5ECA1515"/>
    <w:rsid w:val="5F28035F"/>
    <w:rsid w:val="5F3F6522"/>
    <w:rsid w:val="5F7418E2"/>
    <w:rsid w:val="5F820E88"/>
    <w:rsid w:val="5F916233"/>
    <w:rsid w:val="5F982816"/>
    <w:rsid w:val="5FF33BCD"/>
    <w:rsid w:val="5FF942C4"/>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6FE87530"/>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7B91110"/>
    <w:rsid w:val="78484F3C"/>
    <w:rsid w:val="785A63FA"/>
    <w:rsid w:val="788D434B"/>
    <w:rsid w:val="79571515"/>
    <w:rsid w:val="79B31B8F"/>
    <w:rsid w:val="7AB8567A"/>
    <w:rsid w:val="7B3D5D61"/>
    <w:rsid w:val="7B4B773E"/>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 w:type="paragraph" w:customStyle="1" w:styleId="17">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1104</Words>
  <Characters>1186</Characters>
  <Lines>0</Lines>
  <Paragraphs>0</Paragraphs>
  <TotalTime>0</TotalTime>
  <ScaleCrop>false</ScaleCrop>
  <LinksUpToDate>false</LinksUpToDate>
  <CharactersWithSpaces>1248</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Len-November 唐小宇</cp:lastModifiedBy>
  <cp:lastPrinted>2025-11-11T02:23:00Z</cp:lastPrinted>
  <dcterms:modified xsi:type="dcterms:W3CDTF">2025-12-16T09:19:13Z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FDADF25CEC8C4880A4454F13E01B35A3</vt:lpwstr>
  </property>
  <property fmtid="{D5CDD505-2E9C-101B-9397-08002B2CF9AE}" pid="4" name="KSOTemplateDocerSaveRecord">
    <vt:lpwstr>eyJoZGlkIjoiMGIyMzEwMTA4N2FlMWVhNDM2NGY3MjNjMmI2YTM0ODUiLCJ1c2VySWQiOiIxNTcyODEwNzcyIn0=</vt:lpwstr>
  </property>
</Properties>
</file>