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highlight w:val="none"/>
        </w:rPr>
        <w:t>天府国际动漫城</w:t>
      </w:r>
      <w:r>
        <w:rPr>
          <w:rFonts w:hint="eastAsia" w:ascii="方正小标宋简体" w:hAnsi="方正小标宋简体" w:eastAsia="方正小标宋简体" w:cs="方正小标宋简体"/>
          <w:sz w:val="44"/>
          <w:szCs w:val="44"/>
          <w:highlight w:val="none"/>
          <w:lang w:val="en-US" w:eastAsia="zh-CN"/>
        </w:rPr>
        <w:t>商业街区A1号楼2层A1-231号</w:t>
      </w:r>
      <w:r>
        <w:rPr>
          <w:rFonts w:hint="eastAsia" w:ascii="方正小标宋简体" w:hAnsi="方正小标宋简体" w:eastAsia="方正小标宋简体" w:cs="方正小标宋简体"/>
          <w:sz w:val="44"/>
          <w:szCs w:val="44"/>
          <w:lang w:val="en-US" w:eastAsia="zh-CN"/>
        </w:rPr>
        <w:t>国内知名IP快闪活动</w:t>
      </w:r>
    </w:p>
    <w:p>
      <w:pPr>
        <w:spacing w:line="596"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lang w:val="en-US" w:eastAsia="zh-CN"/>
        </w:rPr>
        <w:t>联办</w:t>
      </w:r>
      <w:r>
        <w:rPr>
          <w:rFonts w:hint="eastAsia" w:ascii="方正小标宋简体" w:hAnsi="方正小标宋简体" w:eastAsia="方正小标宋简体" w:cs="方正小标宋简体"/>
          <w:sz w:val="44"/>
          <w:szCs w:val="44"/>
        </w:rPr>
        <w:t>合作方公开招募公告</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pStyle w:val="5"/>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sz w:val="30"/>
          <w:szCs w:val="30"/>
          <w:highlight w:val="none"/>
        </w:rPr>
        <w:t>项目</w:t>
      </w:r>
      <w:r>
        <w:rPr>
          <w:rFonts w:hint="eastAsia" w:ascii="仿宋_GB2312" w:hAnsi="仿宋_GB2312" w:eastAsia="仿宋_GB2312" w:cs="仿宋_GB2312"/>
          <w:sz w:val="30"/>
          <w:szCs w:val="30"/>
          <w:highlight w:val="none"/>
          <w:lang w:val="zh-CN"/>
        </w:rPr>
        <w:t>位于成都</w:t>
      </w:r>
      <w:r>
        <w:rPr>
          <w:rFonts w:hint="eastAsia" w:ascii="仿宋_GB2312" w:hAnsi="仿宋_GB2312" w:eastAsia="仿宋_GB2312" w:cs="仿宋_GB2312"/>
          <w:sz w:val="30"/>
          <w:szCs w:val="30"/>
          <w:highlight w:val="none"/>
          <w:lang w:val="en-US" w:eastAsia="zh-CN"/>
        </w:rPr>
        <w:t>市</w:t>
      </w:r>
      <w:r>
        <w:rPr>
          <w:rFonts w:hint="eastAsia" w:ascii="仿宋_GB2312" w:hAnsi="仿宋_GB2312" w:eastAsia="仿宋_GB2312" w:cs="仿宋_GB2312"/>
          <w:sz w:val="30"/>
          <w:szCs w:val="30"/>
          <w:highlight w:val="none"/>
          <w:lang w:val="zh-CN"/>
        </w:rPr>
        <w:t>成华区青龙</w:t>
      </w:r>
      <w:r>
        <w:rPr>
          <w:rFonts w:hint="eastAsia" w:ascii="仿宋_GB2312" w:hAnsi="仿宋_GB2312" w:eastAsia="仿宋_GB2312" w:cs="仿宋_GB2312"/>
          <w:sz w:val="30"/>
          <w:szCs w:val="30"/>
          <w:highlight w:val="none"/>
        </w:rPr>
        <w:t>街道</w:t>
      </w:r>
      <w:r>
        <w:rPr>
          <w:rFonts w:hint="eastAsia" w:ascii="仿宋_GB2312" w:hAnsi="仿宋_GB2312" w:eastAsia="仿宋_GB2312" w:cs="仿宋_GB2312"/>
          <w:sz w:val="30"/>
          <w:szCs w:val="30"/>
          <w:highlight w:val="none"/>
          <w:lang w:val="zh-CN"/>
        </w:rPr>
        <w:t>，毗邻</w:t>
      </w:r>
      <w:r>
        <w:rPr>
          <w:rFonts w:hint="eastAsia" w:ascii="仿宋_GB2312" w:hAnsi="仿宋_GB2312" w:eastAsia="仿宋_GB2312" w:cs="仿宋_GB2312"/>
          <w:sz w:val="30"/>
          <w:szCs w:val="30"/>
          <w:highlight w:val="none"/>
        </w:rPr>
        <w:t>成都</w:t>
      </w:r>
      <w:r>
        <w:rPr>
          <w:rFonts w:hint="eastAsia" w:ascii="仿宋_GB2312" w:hAnsi="仿宋_GB2312" w:eastAsia="仿宋_GB2312" w:cs="仿宋_GB2312"/>
          <w:sz w:val="30"/>
          <w:szCs w:val="30"/>
          <w:highlight w:val="none"/>
          <w:lang w:val="zh-CN"/>
        </w:rPr>
        <w:t>动物园和</w:t>
      </w:r>
      <w:r>
        <w:rPr>
          <w:rFonts w:hint="eastAsia" w:ascii="仿宋_GB2312" w:hAnsi="仿宋_GB2312" w:eastAsia="仿宋_GB2312" w:cs="仿宋_GB2312"/>
          <w:sz w:val="30"/>
          <w:szCs w:val="30"/>
          <w:highlight w:val="none"/>
        </w:rPr>
        <w:t>川西第一禅</w:t>
      </w:r>
      <w:r>
        <w:rPr>
          <w:rFonts w:hint="eastAsia" w:ascii="仿宋_GB2312" w:hAnsi="仿宋_GB2312" w:eastAsia="仿宋_GB2312" w:cs="仿宋_GB2312"/>
          <w:kern w:val="2"/>
          <w:sz w:val="30"/>
          <w:szCs w:val="30"/>
          <w:highlight w:val="none"/>
          <w:lang w:val="en-US" w:eastAsia="zh-CN" w:bidi="ar-SA"/>
        </w:rPr>
        <w:t>林</w:t>
      </w:r>
      <w:r>
        <w:rPr>
          <w:rFonts w:hint="eastAsia" w:ascii="仿宋_GB2312" w:hAnsi="仿宋_GB2312" w:eastAsia="仿宋_GB2312" w:cs="仿宋_GB2312"/>
          <w:kern w:val="2"/>
          <w:sz w:val="30"/>
          <w:szCs w:val="30"/>
          <w:highlight w:val="none"/>
          <w:lang w:val="zh-CN" w:eastAsia="zh-CN" w:bidi="ar-SA"/>
        </w:rPr>
        <w:t>昭觉寺，</w:t>
      </w:r>
      <w:r>
        <w:rPr>
          <w:rFonts w:hint="eastAsia" w:ascii="仿宋_GB2312" w:hAnsi="仿宋_GB2312" w:eastAsia="仿宋_GB2312" w:cs="仿宋_GB2312"/>
          <w:kern w:val="2"/>
          <w:sz w:val="30"/>
          <w:szCs w:val="30"/>
          <w:highlight w:val="none"/>
          <w:lang w:val="en-US" w:eastAsia="zh-CN" w:bidi="ar-SA"/>
        </w:rPr>
        <w:t>距离大熊猫基地仅10分钟车程。</w:t>
      </w:r>
    </w:p>
    <w:p>
      <w:pPr>
        <w:pStyle w:val="5"/>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项目占地85.4亩，总建筑面积约12.6</w:t>
      </w:r>
      <w:r>
        <w:rPr>
          <w:rFonts w:hint="eastAsia" w:ascii="仿宋_GB2312" w:hAnsi="仿宋_GB2312" w:eastAsia="仿宋_GB2312" w:cs="仿宋_GB2312"/>
          <w:kern w:val="2"/>
          <w:sz w:val="30"/>
          <w:szCs w:val="30"/>
          <w:highlight w:val="none"/>
          <w:lang w:val="zh-CN" w:eastAsia="zh-CN" w:bidi="ar-SA"/>
        </w:rPr>
        <w:t>万平方米</w:t>
      </w:r>
      <w:r>
        <w:rPr>
          <w:rFonts w:hint="eastAsia" w:ascii="仿宋_GB2312" w:hAnsi="仿宋_GB2312" w:eastAsia="仿宋_GB2312" w:cs="仿宋_GB2312"/>
          <w:kern w:val="2"/>
          <w:sz w:val="30"/>
          <w:szCs w:val="30"/>
          <w:highlight w:val="none"/>
          <w:lang w:val="en-US" w:eastAsia="zh-CN" w:bidi="ar-SA"/>
        </w:rPr>
        <w:t>，计划总投资19.5亿元</w:t>
      </w:r>
      <w:r>
        <w:rPr>
          <w:rFonts w:hint="eastAsia" w:ascii="仿宋_GB2312" w:hAnsi="仿宋_GB2312" w:eastAsia="仿宋_GB2312" w:cs="仿宋_GB2312"/>
          <w:kern w:val="2"/>
          <w:sz w:val="30"/>
          <w:szCs w:val="30"/>
          <w:highlight w:val="none"/>
          <w:lang w:val="zh-CN" w:eastAsia="zh-CN" w:bidi="ar-SA"/>
        </w:rPr>
        <w:t>，项目</w:t>
      </w:r>
      <w:r>
        <w:rPr>
          <w:rFonts w:hint="eastAsia" w:ascii="仿宋_GB2312" w:hAnsi="仿宋_GB2312" w:eastAsia="仿宋_GB2312" w:cs="仿宋_GB2312"/>
          <w:kern w:val="2"/>
          <w:sz w:val="30"/>
          <w:szCs w:val="30"/>
          <w:highlight w:val="none"/>
          <w:lang w:val="en-US" w:eastAsia="zh-CN" w:bidi="ar-SA"/>
        </w:rPr>
        <w:t>已</w:t>
      </w:r>
      <w:r>
        <w:rPr>
          <w:rFonts w:hint="eastAsia" w:ascii="仿宋_GB2312" w:hAnsi="仿宋_GB2312" w:eastAsia="仿宋_GB2312" w:cs="仿宋_GB2312"/>
          <w:kern w:val="2"/>
          <w:sz w:val="30"/>
          <w:szCs w:val="30"/>
          <w:highlight w:val="none"/>
          <w:lang w:val="zh-CN" w:eastAsia="zh-CN" w:bidi="ar-SA"/>
        </w:rPr>
        <w:t>于2021年12月全面动工，</w:t>
      </w:r>
      <w:r>
        <w:rPr>
          <w:rFonts w:hint="eastAsia" w:ascii="仿宋_GB2312" w:hAnsi="仿宋_GB2312" w:eastAsia="仿宋_GB2312" w:cs="仿宋_GB2312"/>
          <w:kern w:val="2"/>
          <w:sz w:val="30"/>
          <w:szCs w:val="30"/>
          <w:highlight w:val="none"/>
          <w:lang w:val="en-US" w:eastAsia="zh-CN" w:bidi="ar-SA"/>
        </w:rPr>
        <w:t>项目展示区已于2021年10月建成开放，并于2023年12月</w:t>
      </w:r>
      <w:r>
        <w:rPr>
          <w:rFonts w:hint="eastAsia" w:ascii="仿宋_GB2312" w:hAnsi="仿宋_GB2312" w:eastAsia="仿宋_GB2312" w:cs="仿宋_GB2312"/>
          <w:kern w:val="2"/>
          <w:sz w:val="30"/>
          <w:szCs w:val="30"/>
          <w:highlight w:val="none"/>
          <w:lang w:val="zh-CN" w:eastAsia="zh-CN" w:bidi="ar-SA"/>
        </w:rPr>
        <w:t>竣工</w:t>
      </w:r>
      <w:r>
        <w:rPr>
          <w:rFonts w:hint="eastAsia" w:ascii="仿宋_GB2312" w:hAnsi="仿宋_GB2312" w:eastAsia="仿宋_GB2312" w:cs="仿宋_GB2312"/>
          <w:kern w:val="2"/>
          <w:sz w:val="30"/>
          <w:szCs w:val="30"/>
          <w:highlight w:val="none"/>
          <w:lang w:val="en-US" w:eastAsia="zh-CN" w:bidi="ar-SA"/>
        </w:rPr>
        <w:t>验收</w:t>
      </w:r>
      <w:r>
        <w:rPr>
          <w:rFonts w:hint="eastAsia" w:ascii="仿宋_GB2312" w:hAnsi="仿宋_GB2312" w:eastAsia="仿宋_GB2312" w:cs="仿宋_GB2312"/>
          <w:kern w:val="2"/>
          <w:sz w:val="30"/>
          <w:szCs w:val="30"/>
          <w:highlight w:val="none"/>
          <w:lang w:val="zh-CN" w:eastAsia="zh-CN" w:bidi="ar-SA"/>
        </w:rPr>
        <w:t>，</w:t>
      </w:r>
      <w:r>
        <w:rPr>
          <w:rFonts w:hint="eastAsia" w:ascii="仿宋_GB2312" w:hAnsi="仿宋_GB2312" w:eastAsia="仿宋_GB2312" w:cs="仿宋_GB2312"/>
          <w:kern w:val="2"/>
          <w:sz w:val="30"/>
          <w:szCs w:val="30"/>
          <w:highlight w:val="none"/>
          <w:lang w:val="en-US" w:eastAsia="zh-CN" w:bidi="ar-SA"/>
        </w:rPr>
        <w:t>计划</w:t>
      </w:r>
      <w:r>
        <w:rPr>
          <w:rFonts w:hint="eastAsia" w:ascii="仿宋_GB2312" w:hAnsi="仿宋_GB2312" w:eastAsia="仿宋_GB2312" w:cs="仿宋_GB2312"/>
          <w:kern w:val="2"/>
          <w:sz w:val="30"/>
          <w:szCs w:val="30"/>
          <w:highlight w:val="none"/>
          <w:lang w:val="zh-CN" w:eastAsia="zh-CN" w:bidi="ar-SA"/>
        </w:rPr>
        <w:t>2024</w:t>
      </w:r>
      <w:r>
        <w:rPr>
          <w:rFonts w:hint="eastAsia" w:ascii="仿宋_GB2312" w:hAnsi="仿宋_GB2312" w:eastAsia="仿宋_GB2312" w:cs="仿宋_GB2312"/>
          <w:kern w:val="2"/>
          <w:sz w:val="30"/>
          <w:szCs w:val="30"/>
          <w:highlight w:val="none"/>
          <w:lang w:val="en-US" w:eastAsia="zh-CN" w:bidi="ar-SA"/>
        </w:rPr>
        <w:t>年9月全面</w:t>
      </w:r>
      <w:r>
        <w:rPr>
          <w:rFonts w:hint="eastAsia" w:ascii="仿宋_GB2312" w:hAnsi="仿宋_GB2312" w:eastAsia="仿宋_GB2312" w:cs="仿宋_GB2312"/>
          <w:kern w:val="2"/>
          <w:sz w:val="30"/>
          <w:szCs w:val="30"/>
          <w:highlight w:val="none"/>
          <w:lang w:val="zh-CN" w:eastAsia="zh-CN" w:bidi="ar-SA"/>
        </w:rPr>
        <w:t>投入运营。</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四川旅投漫话世界旅游开发有限责任公司拟对天府国际动漫城商业街区</w:t>
      </w:r>
      <w:r>
        <w:rPr>
          <w:rFonts w:hint="eastAsia" w:ascii="仿宋_GB2312" w:hAnsi="仿宋_GB2312" w:eastAsia="仿宋_GB2312" w:cs="仿宋_GB2312"/>
          <w:sz w:val="30"/>
          <w:szCs w:val="30"/>
          <w:highlight w:val="none"/>
          <w:lang w:eastAsia="zh-CN"/>
        </w:rPr>
        <w:t>A1号楼</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层</w:t>
      </w:r>
      <w:r>
        <w:rPr>
          <w:rFonts w:hint="eastAsia" w:ascii="仿宋_GB2312" w:hAnsi="仿宋_GB2312" w:eastAsia="仿宋_GB2312" w:cs="仿宋_GB2312"/>
          <w:sz w:val="30"/>
          <w:szCs w:val="30"/>
          <w:highlight w:val="none"/>
          <w:lang w:val="en-US" w:eastAsia="zh-CN"/>
        </w:rPr>
        <w:t>231</w:t>
      </w:r>
      <w:r>
        <w:rPr>
          <w:rFonts w:hint="eastAsia" w:ascii="仿宋_GB2312" w:hAnsi="仿宋_GB2312" w:eastAsia="仿宋_GB2312" w:cs="仿宋_GB2312"/>
          <w:sz w:val="30"/>
          <w:szCs w:val="30"/>
          <w:highlight w:val="none"/>
          <w:lang w:eastAsia="zh-CN"/>
        </w:rPr>
        <w:t>号</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合作方进行公开招募，通过综合评议的方式确定合作方。现诚邀符合要求的意向合作方参加本项目的公开招募，并将有关事项公告如下：</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一、合作物业的基本情况及招募条件:</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(一)物业基本情况</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1.物业名称:天府国际动漫城商业街区</w:t>
      </w:r>
      <w:r>
        <w:rPr>
          <w:rFonts w:hint="eastAsia" w:ascii="仿宋_GB2312" w:hAnsi="仿宋_GB2312" w:eastAsia="仿宋_GB2312" w:cs="仿宋_GB2312"/>
          <w:sz w:val="30"/>
          <w:szCs w:val="30"/>
          <w:highlight w:val="none"/>
          <w:u w:val="single"/>
          <w:lang w:val="en-US" w:eastAsia="zh-CN"/>
        </w:rPr>
        <w:t>A1号楼2层A1-231号</w:t>
      </w:r>
      <w:r>
        <w:rPr>
          <w:rFonts w:hint="eastAsia" w:ascii="仿宋_GB2312" w:hAnsi="仿宋_GB2312" w:eastAsia="仿宋_GB2312" w:cs="仿宋_GB2312"/>
          <w:sz w:val="30"/>
          <w:szCs w:val="30"/>
          <w:highlight w:val="none"/>
          <w:lang w:val="en-US" w:eastAsia="zh-CN"/>
        </w:rPr>
        <w:t>商铺</w:t>
      </w:r>
      <w:r>
        <w:rPr>
          <w:rFonts w:hint="eastAsia" w:ascii="仿宋_GB2312" w:hAnsi="仿宋_GB2312" w:eastAsia="仿宋_GB2312" w:cs="仿宋_GB2312"/>
          <w:sz w:val="30"/>
          <w:szCs w:val="30"/>
          <w:highlight w:val="none"/>
        </w:rPr>
        <w:t>（详见附件1</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总平图</w:t>
      </w:r>
      <w:r>
        <w:rPr>
          <w:rFonts w:hint="eastAsia" w:ascii="仿宋_GB2312" w:hAnsi="仿宋_GB2312" w:eastAsia="仿宋_GB2312" w:cs="仿宋_GB2312"/>
          <w:sz w:val="30"/>
          <w:szCs w:val="30"/>
          <w:highlight w:val="none"/>
        </w:rPr>
        <w:t>）；</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rPr>
        <w:t>地理位</w:t>
      </w:r>
      <w:r>
        <w:rPr>
          <w:rFonts w:hint="eastAsia" w:ascii="仿宋_GB2312" w:hAnsi="仿宋_GB2312" w:eastAsia="仿宋_GB2312" w:cs="仿宋_GB2312"/>
          <w:sz w:val="30"/>
          <w:szCs w:val="30"/>
          <w:highlight w:val="none"/>
        </w:rPr>
        <w:t>置:四川省成都市成华区</w:t>
      </w:r>
      <w:r>
        <w:rPr>
          <w:rFonts w:hint="eastAsia" w:ascii="仿宋_GB2312" w:hAnsi="仿宋_GB2312" w:eastAsia="仿宋_GB2312" w:cs="仿宋_GB2312"/>
          <w:sz w:val="30"/>
          <w:szCs w:val="30"/>
          <w:highlight w:val="none"/>
          <w:lang w:val="en-US" w:eastAsia="zh-CN"/>
        </w:rPr>
        <w:t>东紫</w:t>
      </w:r>
      <w:r>
        <w:rPr>
          <w:rFonts w:hint="eastAsia" w:ascii="仿宋_GB2312" w:hAnsi="仿宋_GB2312" w:eastAsia="仿宋_GB2312" w:cs="仿宋_GB2312"/>
          <w:color w:val="000000" w:themeColor="text1"/>
          <w:sz w:val="30"/>
          <w:szCs w:val="30"/>
          <w:highlight w:val="none"/>
          <w14:textFill>
            <w14:solidFill>
              <w14:schemeClr w14:val="tx1"/>
            </w14:solidFill>
          </w14:textFill>
        </w:rPr>
        <w:t>路173号1栋附</w:t>
      </w:r>
      <w:r>
        <w:rPr>
          <w:rFonts w:hint="eastAsia" w:ascii="仿宋_GB2312" w:hAnsi="仿宋_GB2312" w:eastAsia="仿宋_GB2312" w:cs="仿宋_GB2312"/>
          <w:color w:val="000000" w:themeColor="text1"/>
          <w:sz w:val="30"/>
          <w:szCs w:val="30"/>
          <w:highlight w:val="none"/>
          <w:lang w:val="en-US"/>
          <w14:textFill>
            <w14:solidFill>
              <w14:schemeClr w14:val="tx1"/>
            </w14:solidFill>
          </w14:textFill>
        </w:rPr>
        <w:t>231</w:t>
      </w:r>
      <w:r>
        <w:rPr>
          <w:rFonts w:hint="eastAsia" w:ascii="仿宋_GB2312" w:hAnsi="仿宋_GB2312" w:eastAsia="仿宋_GB2312" w:cs="仿宋_GB2312"/>
          <w:color w:val="000000" w:themeColor="text1"/>
          <w:sz w:val="30"/>
          <w:szCs w:val="30"/>
          <w:highlight w:val="none"/>
          <w:lang w:val="en-US" w:eastAsia="zh-CN"/>
          <w14:textFill>
            <w14:solidFill>
              <w14:schemeClr w14:val="tx1"/>
            </w14:solidFill>
          </w14:textFill>
        </w:rPr>
        <w:t>号</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rPr>
        <w:t>详</w:t>
      </w:r>
      <w:r>
        <w:rPr>
          <w:rFonts w:hint="eastAsia" w:ascii="仿宋_GB2312" w:hAnsi="仿宋_GB2312" w:eastAsia="仿宋_GB2312" w:cs="仿宋_GB2312"/>
          <w:sz w:val="30"/>
          <w:szCs w:val="30"/>
          <w:highlight w:val="none"/>
        </w:rPr>
        <w:t>见附件2：地图）；</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.物业</w:t>
      </w:r>
      <w:r>
        <w:rPr>
          <w:rFonts w:hint="eastAsia" w:ascii="仿宋_GB2312" w:hAnsi="仿宋_GB2312" w:eastAsia="仿宋_GB2312" w:cs="仿宋_GB2312"/>
          <w:sz w:val="30"/>
          <w:szCs w:val="30"/>
          <w:highlight w:val="none"/>
          <w:lang w:val="en-US" w:eastAsia="zh-CN"/>
        </w:rPr>
        <w:t>建筑面积</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u w:val="single"/>
          <w:lang w:val="en-US" w:eastAsia="zh-CN"/>
        </w:rPr>
        <w:t xml:space="preserve"> 418.73  </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物业交付标准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现状交付</w:t>
      </w:r>
      <w:r>
        <w:rPr>
          <w:rFonts w:hint="eastAsia" w:ascii="仿宋_GB2312" w:hAnsi="仿宋_GB2312" w:eastAsia="仿宋_GB2312" w:cs="仿宋_GB2312"/>
          <w:sz w:val="30"/>
          <w:szCs w:val="30"/>
          <w:highlight w:val="none"/>
        </w:rPr>
        <w:t>；</w:t>
      </w:r>
    </w:p>
    <w:p>
      <w:pPr>
        <w:pStyle w:val="5"/>
        <w:ind w:firstLine="600" w:firstLineChars="200"/>
        <w:rPr>
          <w:rFonts w:hint="eastAsia" w:ascii="仿宋_GB2312" w:hAnsi="仿宋_GB2312" w:eastAsia="仿宋_GB2312" w:cs="仿宋_GB2312"/>
          <w:highlight w:val="none"/>
        </w:rPr>
      </w:pPr>
      <w:r>
        <w:rPr>
          <w:rFonts w:hint="eastAsia" w:ascii="仿宋_GB2312" w:hAnsi="仿宋_GB2312" w:eastAsia="仿宋_GB2312" w:cs="仿宋_GB2312"/>
          <w:sz w:val="30"/>
          <w:szCs w:val="30"/>
          <w:highlight w:val="none"/>
          <w:lang w:val="en-US" w:eastAsia="zh-CN"/>
        </w:rPr>
        <w:t>5.活动定位：国内知名IP大空间VR体验项目。</w:t>
      </w:r>
    </w:p>
    <w:p>
      <w:pPr>
        <w:spacing w:line="576" w:lineRule="exact"/>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(二)合作条件</w:t>
      </w:r>
    </w:p>
    <w:p>
      <w:pPr>
        <w:spacing w:line="576" w:lineRule="exact"/>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1.一般条件</w:t>
      </w:r>
    </w:p>
    <w:p>
      <w:pPr>
        <w:spacing w:line="576" w:lineRule="exact"/>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合作区域、合作期限、竞争合作保证金、合作方式、履约保证金见下表:</w:t>
      </w:r>
    </w:p>
    <w:tbl>
      <w:tblPr>
        <w:tblStyle w:val="8"/>
        <w:tblpPr w:leftFromText="180" w:rightFromText="180" w:vertAnchor="text" w:horzAnchor="page" w:tblpXSpec="center" w:tblpY="534"/>
        <w:tblOverlap w:val="never"/>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100"/>
        <w:gridCol w:w="1310"/>
        <w:gridCol w:w="666"/>
        <w:gridCol w:w="868"/>
        <w:gridCol w:w="247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26"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物业名称</w:t>
            </w:r>
          </w:p>
        </w:tc>
        <w:tc>
          <w:tcPr>
            <w:tcW w:w="1100"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合作面积</w:t>
            </w:r>
          </w:p>
        </w:tc>
        <w:tc>
          <w:tcPr>
            <w:tcW w:w="1310"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竞争</w:t>
            </w:r>
          </w:p>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合作保证金</w:t>
            </w:r>
          </w:p>
        </w:tc>
        <w:tc>
          <w:tcPr>
            <w:tcW w:w="666"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合作</w:t>
            </w:r>
          </w:p>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方式</w:t>
            </w:r>
          </w:p>
        </w:tc>
        <w:tc>
          <w:tcPr>
            <w:tcW w:w="868" w:type="dxa"/>
            <w:vAlign w:val="center"/>
          </w:tcPr>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合作</w:t>
            </w:r>
          </w:p>
          <w:p>
            <w:pPr>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期限</w:t>
            </w:r>
          </w:p>
        </w:tc>
        <w:tc>
          <w:tcPr>
            <w:tcW w:w="2470" w:type="dxa"/>
            <w:vAlign w:val="center"/>
          </w:tcPr>
          <w:p>
            <w:pPr>
              <w:pStyle w:val="5"/>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票务分成（%）</w:t>
            </w:r>
          </w:p>
        </w:tc>
        <w:tc>
          <w:tcPr>
            <w:tcW w:w="962" w:type="dxa"/>
            <w:vAlign w:val="center"/>
          </w:tcPr>
          <w:p>
            <w:pPr>
              <w:pStyle w:val="5"/>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426"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A1号楼2层A1-231</w:t>
            </w:r>
          </w:p>
        </w:tc>
        <w:tc>
          <w:tcPr>
            <w:tcW w:w="1100"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418.73</w:t>
            </w:r>
            <w:r>
              <w:rPr>
                <w:rFonts w:hint="default" w:ascii="仿宋_GB2312" w:hAnsi="仿宋_GB2312" w:eastAsia="仿宋_GB2312" w:cs="仿宋_GB2312"/>
                <w:kern w:val="2"/>
                <w:sz w:val="30"/>
                <w:szCs w:val="30"/>
                <w:highlight w:val="none"/>
                <w:lang w:val="en-US" w:eastAsia="zh-CN" w:bidi="ar-SA"/>
              </w:rPr>
              <w:t>㎡</w:t>
            </w:r>
          </w:p>
        </w:tc>
        <w:tc>
          <w:tcPr>
            <w:tcW w:w="1310"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w:t>
            </w:r>
            <w:r>
              <w:rPr>
                <w:rFonts w:hint="default" w:ascii="仿宋_GB2312" w:hAnsi="仿宋_GB2312" w:eastAsia="仿宋_GB2312" w:cs="仿宋_GB2312"/>
                <w:kern w:val="2"/>
                <w:sz w:val="30"/>
                <w:szCs w:val="30"/>
                <w:highlight w:val="none"/>
                <w:lang w:val="en-US" w:eastAsia="zh-CN" w:bidi="ar-SA"/>
              </w:rPr>
              <w:t>万元</w:t>
            </w:r>
          </w:p>
        </w:tc>
        <w:tc>
          <w:tcPr>
            <w:tcW w:w="666"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合作扣点</w:t>
            </w:r>
          </w:p>
        </w:tc>
        <w:tc>
          <w:tcPr>
            <w:tcW w:w="868"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default" w:ascii="仿宋_GB2312" w:hAnsi="仿宋_GB2312" w:eastAsia="仿宋_GB2312" w:cs="仿宋_GB2312"/>
                <w:kern w:val="2"/>
                <w:sz w:val="30"/>
                <w:szCs w:val="30"/>
                <w:highlight w:val="none"/>
                <w:lang w:val="en-US" w:eastAsia="zh-CN" w:bidi="ar-SA"/>
              </w:rPr>
              <w:t>≤</w:t>
            </w:r>
            <w:r>
              <w:rPr>
                <w:rFonts w:hint="eastAsia" w:ascii="仿宋_GB2312" w:hAnsi="仿宋_GB2312" w:eastAsia="仿宋_GB2312" w:cs="仿宋_GB2312"/>
                <w:kern w:val="2"/>
                <w:sz w:val="30"/>
                <w:szCs w:val="30"/>
                <w:highlight w:val="none"/>
                <w:lang w:val="en-US" w:eastAsia="zh-CN" w:bidi="ar-SA"/>
              </w:rPr>
              <w:t>8个月</w:t>
            </w:r>
          </w:p>
        </w:tc>
        <w:tc>
          <w:tcPr>
            <w:tcW w:w="2470"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Times New Roman" w:hAnsi="Times New Roman" w:eastAsia="方正仿宋_GB2312" w:cs="Times New Roman"/>
                <w:sz w:val="18"/>
                <w:szCs w:val="18"/>
                <w:highlight w:val="none"/>
                <w:lang w:val="en-US" w:eastAsia="zh-CN"/>
              </w:rPr>
              <w:t>≥</w:t>
            </w:r>
            <w:r>
              <w:rPr>
                <w:rFonts w:hint="eastAsia" w:ascii="仿宋_GB2312" w:hAnsi="仿宋_GB2312" w:eastAsia="仿宋_GB2312" w:cs="仿宋_GB2312"/>
                <w:kern w:val="2"/>
                <w:sz w:val="30"/>
                <w:szCs w:val="30"/>
                <w:highlight w:val="none"/>
                <w:lang w:val="en-US" w:eastAsia="zh-CN" w:bidi="ar-SA"/>
              </w:rPr>
              <w:t>6%</w:t>
            </w:r>
          </w:p>
        </w:tc>
        <w:tc>
          <w:tcPr>
            <w:tcW w:w="962" w:type="dxa"/>
            <w:vAlign w:val="center"/>
          </w:tcPr>
          <w:p>
            <w:pPr>
              <w:spacing w:line="480" w:lineRule="auto"/>
              <w:jc w:val="center"/>
              <w:rPr>
                <w:rFonts w:hint="default"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不递增</w:t>
            </w:r>
          </w:p>
        </w:tc>
      </w:tr>
    </w:tbl>
    <w:p>
      <w:pPr>
        <w:numPr>
          <w:ilvl w:val="0"/>
          <w:numId w:val="2"/>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kern w:val="2"/>
          <w:sz w:val="30"/>
          <w:szCs w:val="30"/>
          <w:highlight w:val="none"/>
          <w:lang w:val="en-US" w:eastAsia="zh-CN" w:bidi="ar-SA"/>
        </w:rPr>
        <w:t>合</w:t>
      </w:r>
      <w:r>
        <w:rPr>
          <w:rFonts w:hint="eastAsia" w:ascii="仿宋_GB2312" w:hAnsi="仿宋_GB2312" w:eastAsia="仿宋_GB2312" w:cs="仿宋_GB2312"/>
          <w:color w:val="auto"/>
          <w:sz w:val="30"/>
          <w:szCs w:val="30"/>
          <w:highlight w:val="none"/>
          <w:lang w:val="en-US" w:eastAsia="zh-CN"/>
        </w:rPr>
        <w:t>作条件</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(1)合作方需引入国内知名IP文创体验、大空间VR体验内容，如三星堆IP、山海经IP、西游记IP等;</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(2)合作方提供的VR/XR主题展的内容必须符合社会主义主流价值观，主题内容需报漫话公司审核，漫话公司同意后，方可展出；</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(3)合作方取得IP授权；</w:t>
      </w:r>
    </w:p>
    <w:p>
      <w:pPr>
        <w:pStyle w:val="2"/>
        <w:ind w:firstLine="56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(4)合作方需承担商管费12元/平/月；</w:t>
      </w:r>
    </w:p>
    <w:p>
      <w:pPr>
        <w:ind w:firstLine="56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(5)票务收入进合作方账户，合作方向漫话世界开放票务平台登陆权限，接受漫话世界公司对经营期间财务状况监督审查；</w:t>
      </w:r>
    </w:p>
    <w:p>
      <w:pPr>
        <w:pStyle w:val="2"/>
        <w:ind w:firstLine="56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(6)票务收入分成按月度结算，由合作方支付给漫话世界公司；</w:t>
      </w:r>
    </w:p>
    <w:p>
      <w:pPr>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(7)合作方整体展陈需在2024年9月26日前呈现营业。 </w:t>
      </w:r>
    </w:p>
    <w:p>
      <w:pPr>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(8)合作方需承担场地水电能耗费用。</w:t>
      </w:r>
    </w:p>
    <w:p>
      <w:pPr>
        <w:numPr>
          <w:ilvl w:val="0"/>
          <w:numId w:val="2"/>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管理要求及退出机制</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(1)合作方场地改造方案需报漫话世界公司，审核后实施。</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(2)目标管控：双方签订合作协议时，合作方必须取得IP方相关授权，若未取得，漫话世界公司有权拒绝签订合作协议。</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(3)若合作方票务收入前6个月低于260万元，漫话世界公司分成低于26万元，漫话世界公司有权解除协议。</w:t>
      </w:r>
    </w:p>
    <w:p>
      <w:pPr>
        <w:spacing w:line="576" w:lineRule="exact"/>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商务合作及招募条件细节详询：</w:t>
      </w:r>
      <w:r>
        <w:rPr>
          <w:rFonts w:hint="eastAsia" w:ascii="仿宋_GB2312" w:hAnsi="仿宋_GB2312" w:eastAsia="仿宋_GB2312" w:cs="仿宋_GB2312"/>
          <w:sz w:val="30"/>
          <w:szCs w:val="30"/>
          <w:highlight w:val="none"/>
          <w:lang w:val="en-US" w:eastAsia="zh-CN"/>
        </w:rPr>
        <w:t>潘先生</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18201808805</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二、招募方式</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采取在四川旅投旅游创新开发有限责任公司官网、天府国际动漫城微信公众号公开发布招募公告并以综合评议方式确定合作方。</w:t>
      </w:r>
    </w:p>
    <w:p>
      <w:pPr>
        <w:spacing w:line="576"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 xml:space="preserve">(一)本次公开招募信息公告将在四川旅投旅游创新开发有限责任公司官网、天府国际动漫城微信公众号进行公示，公示期为 </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 xml:space="preserve"> 个工作日，公示时间为</w:t>
      </w: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8</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28</w:t>
      </w:r>
      <w:r>
        <w:rPr>
          <w:rFonts w:hint="eastAsia" w:ascii="仿宋_GB2312" w:hAnsi="仿宋_GB2312" w:eastAsia="仿宋_GB2312" w:cs="仿宋_GB2312"/>
          <w:color w:val="auto"/>
          <w:sz w:val="30"/>
          <w:szCs w:val="30"/>
          <w:highlight w:val="none"/>
        </w:rPr>
        <w:t>日-202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日。综合评议时间为202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日09:30。</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(二)意向合作方需在202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日17:00 前，</w:t>
      </w:r>
      <w:r>
        <w:rPr>
          <w:rFonts w:hint="eastAsia" w:ascii="仿宋_GB2312" w:hAnsi="仿宋_GB2312" w:eastAsia="仿宋_GB2312" w:cs="仿宋_GB2312"/>
          <w:sz w:val="30"/>
          <w:szCs w:val="30"/>
          <w:highlight w:val="none"/>
        </w:rPr>
        <w:t>提交加盖公章的《响应文件》中的</w:t>
      </w:r>
      <w:r>
        <w:rPr>
          <w:rFonts w:hint="eastAsia" w:ascii="仿宋_GB2312" w:hAnsi="仿宋_GB2312" w:eastAsia="仿宋_GB2312" w:cs="仿宋_GB2312"/>
          <w:sz w:val="30"/>
          <w:szCs w:val="30"/>
          <w:highlight w:val="none"/>
          <w:lang w:bidi="ar"/>
        </w:rPr>
        <w:t>营业执照复印件、法定代表人身份证复印件、合作资格证明材料（均须加盖公章）、电子邮箱地址与电话、法定代表人授权委托书（如有）</w:t>
      </w:r>
      <w:r>
        <w:rPr>
          <w:rFonts w:hint="eastAsia" w:ascii="仿宋_GB2312" w:hAnsi="仿宋_GB2312" w:eastAsia="仿宋_GB2312" w:cs="仿宋_GB2312"/>
          <w:sz w:val="30"/>
          <w:szCs w:val="30"/>
          <w:highlight w:val="none"/>
        </w:rPr>
        <w:t>的电子版至邮箱TFGJDMC@163.COM，项目方将根据意向合作方提交的《响应文件》中的相关资料进行资格审查，并以电话</w:t>
      </w:r>
      <w:r>
        <w:rPr>
          <w:rFonts w:hint="eastAsia" w:ascii="仿宋_GB2312" w:hAnsi="仿宋_GB2312" w:eastAsia="仿宋_GB2312" w:cs="仿宋_GB2312"/>
          <w:sz w:val="30"/>
          <w:szCs w:val="30"/>
          <w:highlight w:val="none"/>
          <w:lang w:val="en-US" w:eastAsia="zh-CN"/>
        </w:rPr>
        <w:t>或</w:t>
      </w:r>
      <w:r>
        <w:rPr>
          <w:rFonts w:hint="eastAsia" w:ascii="仿宋_GB2312" w:hAnsi="仿宋_GB2312" w:eastAsia="仿宋_GB2312" w:cs="仿宋_GB2312"/>
          <w:sz w:val="30"/>
          <w:szCs w:val="30"/>
          <w:highlight w:val="none"/>
        </w:rPr>
        <w:t>邮件的形式通知符合合作资格的意向合作方在</w:t>
      </w: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日17:00 前</w:t>
      </w:r>
      <w:r>
        <w:rPr>
          <w:rFonts w:hint="eastAsia" w:ascii="仿宋_GB2312" w:hAnsi="仿宋_GB2312" w:eastAsia="仿宋_GB2312" w:cs="仿宋_GB2312"/>
          <w:sz w:val="30"/>
          <w:szCs w:val="30"/>
          <w:highlight w:val="none"/>
        </w:rPr>
        <w:t>足额缴纳竞争合作保证金，逾期视为自动放弃合作资格，意向合作方需自行向项目方取得竞争合作保证金的收据。</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竞争合作保证金收款账户信息:</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账户名称：四川旅投漫话世界旅游开发有限责任公司</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银行账号：431020100101535619</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开户银行：兴业银行股份有限公司成都分行</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(三)通过合作资格审查且足额缴纳竞争合作保证金的意向合作方应于 202</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日上午 09:30 前至综合评议现场提供《响应文件》全套纸质资料(1 正本4 副本)参加综合评议。逾期送达或未送达指定地点的，视为自动放弃合作资格。若意向合作方现场提供的《响应文件》与报名时提交的电子版材料不相符，则取消该意向合作方合作资格。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综合评议地点:成都市成华区天府国际动漫城展示区</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若因特殊原因综合评议时间可能延后，最终时间以</w:t>
      </w:r>
      <w:r>
        <w:rPr>
          <w:rFonts w:hint="eastAsia" w:ascii="仿宋_GB2312" w:hAnsi="仿宋_GB2312" w:eastAsia="仿宋_GB2312" w:cs="仿宋_GB2312"/>
          <w:sz w:val="30"/>
          <w:szCs w:val="30"/>
          <w:highlight w:val="none"/>
          <w:lang w:val="en-US" w:eastAsia="zh-CN"/>
        </w:rPr>
        <w:t>项目方</w:t>
      </w:r>
      <w:r>
        <w:rPr>
          <w:rFonts w:hint="eastAsia" w:ascii="仿宋_GB2312" w:hAnsi="仿宋_GB2312" w:eastAsia="仿宋_GB2312" w:cs="仿宋_GB2312"/>
          <w:sz w:val="30"/>
          <w:szCs w:val="30"/>
          <w:highlight w:val="none"/>
        </w:rPr>
        <w:t>另行通知为准。</w:t>
      </w:r>
    </w:p>
    <w:p>
      <w:pPr>
        <w:numPr>
          <w:ilvl w:val="0"/>
          <w:numId w:val="3"/>
        </w:num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评审组采取综合评议的方式对所有意向合作方提交的相关材料进行综合评议打分，</w:t>
      </w:r>
      <w:r>
        <w:rPr>
          <w:rFonts w:hint="eastAsia" w:ascii="仿宋_GB2312" w:hAnsi="仿宋_GB2312" w:eastAsia="仿宋_GB2312" w:cs="仿宋_GB2312"/>
          <w:sz w:val="30"/>
          <w:szCs w:val="30"/>
          <w:highlight w:val="none"/>
          <w:lang w:val="en-US" w:eastAsia="zh-CN"/>
        </w:rPr>
        <w:t>符合我方招商方案要求且评议分高于70分的意向合作方，按照分高者得的方式，</w:t>
      </w:r>
      <w:r>
        <w:rPr>
          <w:rFonts w:hint="eastAsia" w:ascii="仿宋_GB2312" w:hAnsi="仿宋_GB2312" w:eastAsia="仿宋_GB2312" w:cs="仿宋_GB2312"/>
          <w:sz w:val="30"/>
          <w:szCs w:val="30"/>
          <w:highlight w:val="none"/>
        </w:rPr>
        <w:t>经漫话公司决策后确认最终合作方</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若只有一家报名且满足招募要求的参与竞争合作，同时综合评议分高于70分，由评审组确认为意向合作方，经漫话公司决策后确认最终合作方。</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 招募结果将在四川旅投旅游创新开发有限责任公司官网、天府国际动漫城微信公众号同步公示，公示时间为</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个工作日。</w:t>
      </w:r>
    </w:p>
    <w:p>
      <w:pPr>
        <w:spacing w:line="576" w:lineRule="exact"/>
        <w:ind w:firstLine="600" w:firstLineChars="200"/>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sz w:val="30"/>
          <w:szCs w:val="30"/>
          <w:highlight w:val="none"/>
        </w:rPr>
        <w:t>(六)意向合作方成功竞得后，由四川旅投漫话世界旅游开发有限责任公司与竞得方签订合同。</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(七)未合作成功的意向合作方缴纳的竞争合作保证金在结果公示后 5个工作日内原路径退还(不计利息); 合作成功的意向合作方缴纳的竞争合作保证金在合同签订后自动转为履约保证金。若合作成功的意向合作方拒绝与项目方签订</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合同，则缴纳的合作保证金不予退还。</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三、对意向</w:t>
      </w:r>
      <w:r>
        <w:rPr>
          <w:rFonts w:hint="eastAsia" w:ascii="仿宋_GB2312" w:hAnsi="仿宋_GB2312" w:eastAsia="仿宋_GB2312" w:cs="仿宋_GB2312"/>
          <w:sz w:val="30"/>
          <w:szCs w:val="30"/>
          <w:highlight w:val="none"/>
          <w:lang w:val="en-US" w:eastAsia="zh-CN"/>
        </w:rPr>
        <w:t>联办合作</w:t>
      </w:r>
      <w:r>
        <w:rPr>
          <w:rFonts w:hint="eastAsia" w:ascii="仿宋_GB2312" w:hAnsi="仿宋_GB2312" w:eastAsia="仿宋_GB2312" w:cs="仿宋_GB2312"/>
          <w:sz w:val="30"/>
          <w:szCs w:val="30"/>
          <w:highlight w:val="none"/>
        </w:rPr>
        <w:t>方的基本要求</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符合下列条件，均可参加</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投标。</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竞标人应为在中华人民共和国境内依法设立的独立法人。</w:t>
      </w:r>
    </w:p>
    <w:p>
      <w:pPr>
        <w:spacing w:line="576"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附件1：总平图</w:t>
      </w:r>
      <w:r>
        <w:rPr>
          <w:rFonts w:hint="eastAsia" w:ascii="仿宋_GB2312" w:hAnsi="仿宋_GB2312" w:eastAsia="仿宋_GB2312" w:cs="仿宋_GB2312"/>
          <w:sz w:val="30"/>
          <w:szCs w:val="30"/>
          <w:highlight w:val="none"/>
          <w:lang w:val="en-US" w:eastAsia="zh-CN"/>
        </w:rPr>
        <w:t>及店铺位置</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附件2：地理位置</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附件 3:《响应文件》格式</w:t>
      </w:r>
    </w:p>
    <w:p>
      <w:pPr>
        <w:spacing w:line="57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highlight w:val="none"/>
          <w:lang w:val="en-US" w:eastAsia="zh-CN"/>
        </w:rPr>
        <w:t>附件4：</w:t>
      </w:r>
      <w:r>
        <w:rPr>
          <w:rFonts w:hint="eastAsia" w:ascii="仿宋_GB2312" w:hAnsi="仿宋_GB2312" w:eastAsia="仿宋_GB2312" w:cs="仿宋_GB2312"/>
          <w:sz w:val="30"/>
          <w:szCs w:val="30"/>
          <w:lang w:val="en-US" w:eastAsia="zh-CN"/>
        </w:rPr>
        <w:t>天府国际动漫城国内知名IP快闪活动联办合作方公开招募评分细则</w:t>
      </w:r>
    </w:p>
    <w:p>
      <w:pPr>
        <w:spacing w:line="576" w:lineRule="exact"/>
        <w:jc w:val="righ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四川旅投漫话世界旅游开发有限责任公司</w:t>
      </w:r>
    </w:p>
    <w:p>
      <w:pPr>
        <w:pStyle w:val="2"/>
        <w:wordWrap w:val="0"/>
        <w:jc w:val="right"/>
        <w:rPr>
          <w:rFonts w:hint="default"/>
          <w:lang w:val="en-US" w:eastAsia="zh-CN"/>
        </w:rPr>
      </w:pPr>
      <w:r>
        <w:rPr>
          <w:rFonts w:hint="eastAsia" w:ascii="仿宋_GB2312" w:hAnsi="仿宋_GB2312" w:eastAsia="仿宋_GB2312" w:cs="仿宋_GB2312"/>
          <w:sz w:val="30"/>
          <w:szCs w:val="30"/>
          <w:highlight w:val="none"/>
          <w:lang w:val="en-US" w:eastAsia="zh-CN"/>
        </w:rPr>
        <w:t xml:space="preserve">2024年8月28日  </w:t>
      </w: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3399155" cy="1889760"/>
            <wp:effectExtent l="0" t="0" r="10795" b="15240"/>
            <wp:docPr id="1" name="图片 1"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鸟瞰图2"/>
                    <pic:cNvPicPr>
                      <a:picLocks noChangeAspect="1"/>
                    </pic:cNvPicPr>
                  </pic:nvPicPr>
                  <pic:blipFill>
                    <a:blip r:embed="rId6"/>
                    <a:stretch>
                      <a:fillRect/>
                    </a:stretch>
                  </pic:blipFill>
                  <pic:spPr>
                    <a:xfrm>
                      <a:off x="0" y="0"/>
                      <a:ext cx="3399155" cy="1889760"/>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活动位置</w:t>
      </w:r>
    </w:p>
    <w:p>
      <w:pPr>
        <w:rPr>
          <w:rFonts w:hint="eastAsia" w:ascii="Times New Roman" w:hAnsi="Times New Roman" w:cs="Times New Roman" w:eastAsiaTheme="minorEastAsia"/>
          <w:highlight w:val="none"/>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2047240</wp:posOffset>
                </wp:positionH>
                <wp:positionV relativeFrom="paragraph">
                  <wp:posOffset>1645285</wp:posOffset>
                </wp:positionV>
                <wp:extent cx="288925" cy="231140"/>
                <wp:effectExtent l="14605" t="12700" r="33655" b="28575"/>
                <wp:wrapNone/>
                <wp:docPr id="7" name="矩形 7"/>
                <wp:cNvGraphicFramePr/>
                <a:graphic xmlns:a="http://schemas.openxmlformats.org/drawingml/2006/main">
                  <a:graphicData uri="http://schemas.microsoft.com/office/word/2010/wordprocessingShape">
                    <wps:wsp>
                      <wps:cNvSpPr/>
                      <wps:spPr>
                        <a:xfrm rot="16020000">
                          <a:off x="1986280" y="7846060"/>
                          <a:ext cx="288925" cy="231140"/>
                        </a:xfrm>
                        <a:prstGeom prst="rect">
                          <a:avLst/>
                        </a:prstGeom>
                        <a:solidFill>
                          <a:srgbClr val="FFFF00">
                            <a:alpha val="51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2pt;margin-top:129.55pt;height:18.2pt;width:22.75pt;rotation:-6094848f;z-index:251659264;v-text-anchor:middle;mso-width-relative:page;mso-height-relative:page;" fillcolor="#FFFF00" filled="t" stroked="t" coordsize="21600,21600" o:gfxdata="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pEbts2AAAAAsBAAAPAAAAAAAAAAEAIAAAACIAAABkcnMvZG93bnJldi54&#10;bWxQSwECFAAUAAAACACHTuJA4v9Al6UCAABbBQAADgAAAAAAAAABACAAAAAnAQAAZHJzL2Uyb0Rv&#10;Yy54bWxQSwUGAAAAAAYABgBZAQAAPgYAAAAA&#10;">
                <v:fill on="t" opacity="33423f" focussize="0,0"/>
                <v:stroke weight="1pt" color="#41719C [3204]" miterlimit="8" joinstyle="miter"/>
                <v:imagedata o:title=""/>
                <o:lock v:ext="edit" aspectratio="f"/>
                <v:textbox>
                  <w:txbxContent>
                    <w:p/>
                  </w:txbxContent>
                </v:textbox>
              </v:rect>
            </w:pict>
          </mc:Fallback>
        </mc:AlternateContent>
      </w:r>
      <w:r>
        <w:drawing>
          <wp:inline distT="0" distB="0" distL="114300" distR="114300">
            <wp:extent cx="5273040" cy="2997835"/>
            <wp:effectExtent l="0" t="0" r="10160" b="2476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7"/>
                    <a:stretch>
                      <a:fillRect/>
                    </a:stretch>
                  </pic:blipFill>
                  <pic:spPr>
                    <a:xfrm>
                      <a:off x="0" y="0"/>
                      <a:ext cx="5273040" cy="2997835"/>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214880" cy="1670050"/>
            <wp:effectExtent l="0" t="0" r="1397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214880" cy="167005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bookmarkStart w:id="0" w:name="_GoBack"/>
      <w:bookmarkEnd w:id="0"/>
      <w:r>
        <w:rPr>
          <w:rFonts w:hint="default" w:ascii="Times New Roman" w:hAnsi="Times New Roman" w:eastAsia="方正仿宋_GB2312" w:cs="Times New Roman"/>
          <w:sz w:val="28"/>
          <w:szCs w:val="28"/>
          <w:highlight w:val="none"/>
        </w:rPr>
        <w:t>附件3、响应文件封面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val="en-US" w:eastAsia="zh-CN"/>
        </w:rPr>
        <w:t xml:space="preserve"> </w:t>
      </w:r>
      <w:r>
        <w:rPr>
          <w:rFonts w:hint="eastAsia" w:ascii="Times New Roman" w:hAnsi="Times New Roman" w:eastAsia="方正仿宋_GB2312" w:cs="Times New Roman"/>
          <w:sz w:val="28"/>
          <w:szCs w:val="28"/>
          <w:highlight w:val="none"/>
          <w:u w:val="none"/>
          <w:lang w:eastAsia="zh-CN"/>
        </w:rPr>
        <w:t>号</w:t>
      </w:r>
      <w:r>
        <w:rPr>
          <w:rFonts w:hint="default" w:ascii="Times New Roman" w:hAnsi="Times New Roman" w:eastAsia="方正仿宋_GB2312" w:cs="Times New Roman"/>
          <w:sz w:val="28"/>
          <w:szCs w:val="28"/>
          <w:highlight w:val="none"/>
          <w:u w:val="none"/>
        </w:rPr>
        <w:t xml:space="preserve">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4"/>
        </w:numPr>
        <w:spacing w:line="640" w:lineRule="atLeast"/>
        <w:ind w:left="0" w:leftChars="0" w:firstLine="560" w:firstLine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eastAsia" w:ascii="Times New Roman" w:hAnsi="Times New Roman" w:eastAsia="方正仿宋_GB2312" w:cs="Times New Roman"/>
          <w:sz w:val="28"/>
          <w:szCs w:val="28"/>
          <w:highlight w:val="none"/>
          <w:lang w:eastAsia="zh-CN"/>
        </w:rPr>
        <w:t>。</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pStyle w:val="2"/>
        <w:rPr>
          <w:rFonts w:hint="default"/>
        </w:rPr>
      </w:pPr>
    </w:p>
    <w:p>
      <w:pPr>
        <w:rPr>
          <w:rFonts w:hint="default"/>
        </w:rPr>
      </w:pPr>
    </w:p>
    <w:p>
      <w:pPr>
        <w:numPr>
          <w:ilvl w:val="0"/>
          <w:numId w:val="0"/>
        </w:numPr>
        <w:spacing w:line="576" w:lineRule="exact"/>
        <w:ind w:leftChars="200"/>
        <w:rPr>
          <w:rFonts w:hint="default" w:ascii="Times New Roman" w:hAnsi="Times New Roman" w:eastAsia="方正仿宋_GB2312" w:cs="Times New Roman"/>
          <w:sz w:val="28"/>
          <w:szCs w:val="28"/>
          <w:highlight w:val="none"/>
        </w:rPr>
      </w:pPr>
    </w:p>
    <w:p>
      <w:pPr>
        <w:numPr>
          <w:ilvl w:val="0"/>
          <w:numId w:val="0"/>
        </w:numPr>
        <w:spacing w:line="576" w:lineRule="exact"/>
        <w:ind w:leftChars="200"/>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numPr>
          <w:ilvl w:val="0"/>
          <w:numId w:val="4"/>
        </w:numPr>
        <w:spacing w:line="576" w:lineRule="exact"/>
        <w:ind w:left="0" w:leftChars="0"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法定代表人授权委托书模板</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pStyle w:val="2"/>
        <w:rPr>
          <w:rFonts w:hint="default"/>
        </w:rPr>
      </w:pPr>
    </w:p>
    <w:p>
      <w:pPr>
        <w:rPr>
          <w:rFonts w:hint="default"/>
        </w:rPr>
      </w:pPr>
    </w:p>
    <w:p>
      <w:pPr>
        <w:rPr>
          <w:rFonts w:hint="default"/>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eastAsia" w:ascii="Times New Roman" w:hAnsi="Times New Roman" w:eastAsia="方正仿宋_GB2312" w:cs="Times New Roman"/>
          <w:sz w:val="28"/>
          <w:szCs w:val="28"/>
          <w:highlight w:val="none"/>
          <w:lang w:val="en-US" w:eastAsia="zh-CN"/>
        </w:rPr>
        <w:t>国内知名IP快闪活动联办合作方公开招募的</w:t>
      </w:r>
      <w:r>
        <w:rPr>
          <w:rFonts w:hint="default" w:ascii="Times New Roman" w:hAnsi="Times New Roman" w:eastAsia="方正仿宋_GB2312" w:cs="Times New Roman"/>
          <w:sz w:val="28"/>
          <w:szCs w:val="28"/>
          <w:highlight w:val="none"/>
        </w:rPr>
        <w:t>公告》的全部内容，在完全理解并严格遵守招募公告的各项规定和要求的前提下，自愿参加本项目招募活动，本次合作的标的为：</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none"/>
          <w:lang w:val="en-US" w:eastAsia="zh-CN"/>
        </w:rPr>
        <w:t>月</w:t>
      </w:r>
    </w:p>
    <w:p>
      <w:pPr>
        <w:numPr>
          <w:ilvl w:val="0"/>
          <w:numId w:val="5"/>
        </w:numPr>
        <w:spacing w:line="576" w:lineRule="exact"/>
        <w:rPr>
          <w:rFonts w:hint="default" w:ascii="Times New Roman" w:hAnsi="Times New Roman" w:eastAsia="方正仿宋_GB2312" w:cs="Times New Roman"/>
          <w:sz w:val="28"/>
          <w:szCs w:val="28"/>
          <w:highlight w:val="none"/>
          <w:u w:val="none"/>
        </w:rPr>
      </w:pPr>
      <w:r>
        <w:rPr>
          <w:rFonts w:hint="eastAsia" w:ascii="Times New Roman" w:hAnsi="Times New Roman" w:eastAsia="方正仿宋_GB2312" w:cs="Times New Roman"/>
          <w:sz w:val="28"/>
          <w:szCs w:val="28"/>
          <w:highlight w:val="none"/>
          <w:lang w:val="en-US" w:eastAsia="zh-CN"/>
        </w:rPr>
        <w:t>扣点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none"/>
          <w:lang w:val="en-US" w:eastAsia="zh-CN"/>
        </w:rPr>
        <w:t>%</w:t>
      </w:r>
    </w:p>
    <w:p>
      <w:pPr>
        <w:numPr>
          <w:ilvl w:val="0"/>
          <w:numId w:val="5"/>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元/㎡/月</w:t>
      </w:r>
    </w:p>
    <w:p>
      <w:pPr>
        <w:numPr>
          <w:ilvl w:val="0"/>
          <w:numId w:val="5"/>
        </w:numPr>
        <w:spacing w:line="576" w:lineRule="exact"/>
        <w:rPr>
          <w:rFonts w:hint="default" w:ascii="Times New Roman" w:hAnsi="Times New Roman" w:cs="Times New Roman"/>
          <w:highlight w:val="none"/>
        </w:rPr>
      </w:pPr>
      <w:r>
        <w:rPr>
          <w:rFonts w:hint="eastAsia" w:ascii="Times New Roman" w:hAnsi="Times New Roman" w:eastAsia="方正仿宋_GB2312" w:cs="Times New Roman"/>
          <w:sz w:val="28"/>
          <w:szCs w:val="28"/>
          <w:highlight w:val="none"/>
          <w:lang w:val="en-US" w:eastAsia="zh-CN"/>
        </w:rPr>
        <w:t>票房分成结算</w:t>
      </w:r>
      <w:r>
        <w:rPr>
          <w:rFonts w:hint="default" w:ascii="Times New Roman" w:hAnsi="Times New Roman" w:eastAsia="方正仿宋_GB2312" w:cs="Times New Roman"/>
          <w:sz w:val="28"/>
          <w:szCs w:val="28"/>
          <w:highlight w:val="none"/>
          <w:lang w:val="en-US" w:eastAsia="zh-CN"/>
        </w:rPr>
        <w:t>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6"/>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6"/>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w:t>
      </w:r>
      <w:r>
        <w:rPr>
          <w:rFonts w:hint="eastAsia" w:ascii="Times New Roman" w:hAnsi="Times New Roman" w:eastAsia="方正仿宋_GB2312" w:cs="Times New Roman"/>
          <w:sz w:val="30"/>
          <w:szCs w:val="30"/>
          <w:highlight w:val="none"/>
          <w:lang w:val="en-US" w:eastAsia="zh-CN"/>
        </w:rPr>
        <w:t>合作</w:t>
      </w:r>
      <w:r>
        <w:rPr>
          <w:rFonts w:hint="default" w:ascii="Times New Roman" w:hAnsi="Times New Roman" w:eastAsia="方正仿宋_GB2312" w:cs="Times New Roman"/>
          <w:sz w:val="30"/>
          <w:szCs w:val="30"/>
          <w:highlight w:val="none"/>
        </w:rPr>
        <w:t>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 xml:space="preserve">（加盖公章）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合作方案</w:t>
      </w: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
    <w:p/>
    <w:p/>
    <w:p/>
    <w:p/>
    <w:p/>
    <w:p/>
    <w:p/>
    <w:p/>
    <w:p/>
    <w:p/>
    <w:p/>
    <w:p/>
    <w:p/>
    <w:p/>
    <w:p/>
    <w:p/>
    <w:p/>
    <w:p/>
    <w:p/>
    <w:p/>
    <w:p/>
    <w:p/>
    <w:p/>
    <w:p/>
    <w:p>
      <w:pPr>
        <w:spacing w:before="120" w:beforeLines="50" w:after="120" w:afterLines="50"/>
        <w:outlineLvl w:val="0"/>
        <w:rPr>
          <w:rFonts w:hint="eastAsia" w:ascii="Arial" w:hAnsi="Arial" w:eastAsia="宋体" w:cs="宋体"/>
          <w:b/>
          <w:sz w:val="22"/>
          <w:szCs w:val="22"/>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4</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天府国际动漫城国内知名IP活动联办合作方公开招募评分细则</w:t>
      </w:r>
    </w:p>
    <w:tbl>
      <w:tblPr>
        <w:tblStyle w:val="7"/>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天府国际动漫城国内知名IP活动联办合作方公开招募评分细则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商务条件</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（一）扣点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highlight w:val="none"/>
                <w:u w:val="none"/>
                <w:shd w:val="clear" w:fill="FFFFFF" w:themeFill="background1"/>
                <w:lang w:val="en-US" w:eastAsia="zh-CN" w:bidi="ar"/>
              </w:rPr>
              <w:t>商务条件满分为70分，基准分数线为60分，票务分成达到6%，得分即为60分。在票务分成最低要求基础上，扣点基准上每增加0.5%，分数增加1分，分数不超过70分。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highlight w:val="none"/>
                <w:u w:val="none"/>
                <w:lang w:val="en-US"/>
              </w:rPr>
            </w:pPr>
            <w:r>
              <w:rPr>
                <w:rFonts w:hint="eastAsia" w:ascii="微软雅黑" w:hAnsi="微软雅黑" w:eastAsia="微软雅黑" w:cs="微软雅黑"/>
                <w:i w:val="0"/>
                <w:iCs w:val="0"/>
                <w:color w:val="000000"/>
                <w:kern w:val="0"/>
                <w:sz w:val="22"/>
                <w:szCs w:val="22"/>
                <w:highlight w:val="none"/>
                <w:u w:val="none"/>
                <w:lang w:val="en-US" w:eastAsia="zh-CN" w:bidi="ar"/>
              </w:rPr>
              <w:t>方案须包含IP介绍、定位、规划及运营等内容。评审委员会根据方案进行综合评审，优得20-25分，良得15-19分，一般得10-14分，差得1-9分，无得0分。（评分保留整数）；合作方提供大型vr设备可加2分；合作方可提供其他国内IP授权函，分数增加1分；展出内容契合社会主义主流价值观，弘扬民族文化的，分数可增加2分；总分数不超过30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p>
      <w:pPr>
        <w:pStyle w:val="2"/>
        <w:rPr>
          <w:rFonts w:hint="default"/>
        </w:rPr>
      </w:pPr>
    </w:p>
    <w:p>
      <w:pPr>
        <w:rPr>
          <w:rFonts w:hint="default" w:ascii="Times New Roman" w:hAnsi="Times New Roman" w:cs="Times New Roman"/>
          <w:lang w:val="en-US" w:eastAsia="zh-CN"/>
        </w:rPr>
      </w:pPr>
    </w:p>
    <w:p/>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A117C4"/>
    <w:multiLevelType w:val="singleLevel"/>
    <w:tmpl w:val="0EA117C4"/>
    <w:lvl w:ilvl="0" w:tentative="0">
      <w:start w:val="1"/>
      <w:numFmt w:val="chineseCounting"/>
      <w:suff w:val="nothing"/>
      <w:lvlText w:val="%1、"/>
      <w:lvlJc w:val="left"/>
      <w:rPr>
        <w:rFonts w:hint="eastAsia"/>
      </w:rPr>
    </w:lvl>
  </w:abstractNum>
  <w:abstractNum w:abstractNumId="4">
    <w:nsid w:val="1244DF46"/>
    <w:multiLevelType w:val="singleLevel"/>
    <w:tmpl w:val="1244DF46"/>
    <w:lvl w:ilvl="0" w:tentative="0">
      <w:start w:val="4"/>
      <w:numFmt w:val="chineseCounting"/>
      <w:suff w:val="nothing"/>
      <w:lvlText w:val="（%1）"/>
      <w:lvlJc w:val="left"/>
      <w:rPr>
        <w:rFonts w:hint="eastAsia"/>
      </w:rPr>
    </w:lvl>
  </w:abstractNum>
  <w:abstractNum w:abstractNumId="5">
    <w:nsid w:val="15441EA5"/>
    <w:multiLevelType w:val="singleLevel"/>
    <w:tmpl w:val="15441EA5"/>
    <w:lvl w:ilvl="0" w:tentative="0">
      <w:start w:val="2"/>
      <w:numFmt w:val="decimal"/>
      <w:lvlText w:val="%1."/>
      <w:lvlJc w:val="left"/>
      <w:pPr>
        <w:tabs>
          <w:tab w:val="left" w:pos="312"/>
        </w:tabs>
      </w:pPr>
    </w:lvl>
  </w:abstractNum>
  <w:abstractNum w:abstractNumId="6">
    <w:nsid w:val="61CBD056"/>
    <w:multiLevelType w:val="singleLevel"/>
    <w:tmpl w:val="61CBD056"/>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jg1MDA4NWJkZTU4OTBkNWJjZDZkZTVmNzFjNzcifQ=="/>
  </w:docVars>
  <w:rsids>
    <w:rsidRoot w:val="00000000"/>
    <w:rsid w:val="02761031"/>
    <w:rsid w:val="1C64ECCF"/>
    <w:rsid w:val="1F7E6D94"/>
    <w:rsid w:val="1F98DAD2"/>
    <w:rsid w:val="3B39115A"/>
    <w:rsid w:val="3F374E6B"/>
    <w:rsid w:val="47F9DBEE"/>
    <w:rsid w:val="4FD55B13"/>
    <w:rsid w:val="5DBFC5C2"/>
    <w:rsid w:val="5FEF5007"/>
    <w:rsid w:val="62AF121D"/>
    <w:rsid w:val="6B7F8A66"/>
    <w:rsid w:val="6DF3CBC1"/>
    <w:rsid w:val="6DFE7A9E"/>
    <w:rsid w:val="75FF201C"/>
    <w:rsid w:val="7649E6B8"/>
    <w:rsid w:val="76BFBA65"/>
    <w:rsid w:val="79D60E4F"/>
    <w:rsid w:val="7CBB1990"/>
    <w:rsid w:val="7D9FD16B"/>
    <w:rsid w:val="7E5FDB66"/>
    <w:rsid w:val="7F6FCC59"/>
    <w:rsid w:val="7F93FED0"/>
    <w:rsid w:val="7FE85561"/>
    <w:rsid w:val="8DF35504"/>
    <w:rsid w:val="CB9F0462"/>
    <w:rsid w:val="EBFFED71"/>
    <w:rsid w:val="F4F1EAC4"/>
    <w:rsid w:val="F7D02C71"/>
    <w:rsid w:val="F7F6E6F5"/>
    <w:rsid w:val="FBCA41FF"/>
    <w:rsid w:val="FD2FC86D"/>
    <w:rsid w:val="FE7DB1BC"/>
    <w:rsid w:val="FF7F5D66"/>
    <w:rsid w:val="FFFF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Times New Roman" w:hAnsi="Times New Roman" w:eastAsia="宋体" w:cs="Times New Roman"/>
    </w:rPr>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000FF"/>
      <w:u w:val="none"/>
    </w:rPr>
  </w:style>
  <w:style w:type="character" w:styleId="11">
    <w:name w:val="annotation reference"/>
    <w:unhideWhenUsed/>
    <w:qFormat/>
    <w:uiPriority w:val="99"/>
    <w:rPr>
      <w:sz w:val="21"/>
      <w:szCs w:val="21"/>
    </w:rPr>
  </w:style>
  <w:style w:type="paragraph" w:customStyle="1" w:styleId="12">
    <w:name w:val="列表段落1"/>
    <w:basedOn w:val="1"/>
    <w:qFormat/>
    <w:uiPriority w:val="34"/>
    <w:pPr>
      <w:widowControl/>
      <w:ind w:firstLine="420"/>
      <w:jc w:val="left"/>
    </w:pPr>
    <w:rPr>
      <w:rFonts w:ascii="Calibri" w:hAnsi="Calibri" w:eastAsia="宋体" w:cs="Calibri"/>
      <w:color w:val="auto"/>
      <w:kern w:val="0"/>
      <w:sz w:val="22"/>
      <w:szCs w:val="22"/>
    </w:rPr>
  </w:style>
  <w:style w:type="paragraph" w:customStyle="1" w:styleId="13">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3476</Words>
  <Characters>3812</Characters>
  <Lines>0</Lines>
  <Paragraphs>0</Paragraphs>
  <TotalTime>4</TotalTime>
  <ScaleCrop>false</ScaleCrop>
  <LinksUpToDate>false</LinksUpToDate>
  <CharactersWithSpaces>4126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2024-08-14T14:09:00Z</dcterms:created>
  <dc:creator>Y-Y</dc:creator>
  <cp:lastModifiedBy>DY</cp:lastModifiedBy>
  <dcterms:modified xsi:type="dcterms:W3CDTF">2024-08-28T07:36:09Z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F65E12B454724BAD909B335D8AE2E058</vt:lpwstr>
  </property>
</Properties>
</file>