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天府国际动漫城</w:t>
      </w:r>
      <w:r>
        <w:rPr>
          <w:rFonts w:hint="eastAsia" w:ascii="方正小标宋简体" w:hAnsi="方正小标宋简体" w:eastAsia="方正小标宋简体" w:cs="方正小标宋简体"/>
          <w:sz w:val="44"/>
          <w:szCs w:val="44"/>
          <w:highlight w:val="none"/>
          <w:lang w:val="en-US" w:eastAsia="zh-CN"/>
        </w:rPr>
        <w:t>商业街区B3号楼101号</w:t>
      </w:r>
    </w:p>
    <w:p>
      <w:pPr>
        <w:spacing w:line="596"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国际知名IP快闪活动</w:t>
      </w:r>
    </w:p>
    <w:p>
      <w:pPr>
        <w:spacing w:line="596"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lang w:val="en-US" w:eastAsia="zh-CN"/>
        </w:rPr>
        <w:t>联办</w:t>
      </w:r>
      <w:r>
        <w:rPr>
          <w:rFonts w:hint="eastAsia" w:ascii="方正小标宋简体" w:hAnsi="方正小标宋简体" w:eastAsia="方正小标宋简体" w:cs="方正小标宋简体"/>
          <w:sz w:val="44"/>
          <w:szCs w:val="44"/>
        </w:rPr>
        <w:t>合作方公开招募公告</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pStyle w:val="5"/>
        <w:ind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sz w:val="30"/>
          <w:szCs w:val="30"/>
          <w:highlight w:val="none"/>
        </w:rPr>
        <w:t>项目</w:t>
      </w:r>
      <w:r>
        <w:rPr>
          <w:rFonts w:hint="eastAsia" w:ascii="仿宋_GB2312" w:hAnsi="仿宋_GB2312" w:eastAsia="仿宋_GB2312" w:cs="仿宋_GB2312"/>
          <w:sz w:val="30"/>
          <w:szCs w:val="30"/>
          <w:highlight w:val="none"/>
          <w:lang w:val="zh-CN"/>
        </w:rPr>
        <w:t>位于成都</w:t>
      </w:r>
      <w:r>
        <w:rPr>
          <w:rFonts w:hint="eastAsia" w:ascii="仿宋_GB2312" w:hAnsi="仿宋_GB2312" w:eastAsia="仿宋_GB2312" w:cs="仿宋_GB2312"/>
          <w:sz w:val="30"/>
          <w:szCs w:val="30"/>
          <w:highlight w:val="none"/>
          <w:lang w:val="en-US" w:eastAsia="zh-CN"/>
        </w:rPr>
        <w:t>市</w:t>
      </w:r>
      <w:r>
        <w:rPr>
          <w:rFonts w:hint="eastAsia" w:ascii="仿宋_GB2312" w:hAnsi="仿宋_GB2312" w:eastAsia="仿宋_GB2312" w:cs="仿宋_GB2312"/>
          <w:sz w:val="30"/>
          <w:szCs w:val="30"/>
          <w:highlight w:val="none"/>
          <w:lang w:val="zh-CN"/>
        </w:rPr>
        <w:t>成华区青龙</w:t>
      </w:r>
      <w:r>
        <w:rPr>
          <w:rFonts w:hint="eastAsia" w:ascii="仿宋_GB2312" w:hAnsi="仿宋_GB2312" w:eastAsia="仿宋_GB2312" w:cs="仿宋_GB2312"/>
          <w:sz w:val="30"/>
          <w:szCs w:val="30"/>
          <w:highlight w:val="none"/>
        </w:rPr>
        <w:t>街道</w:t>
      </w:r>
      <w:r>
        <w:rPr>
          <w:rFonts w:hint="eastAsia" w:ascii="仿宋_GB2312" w:hAnsi="仿宋_GB2312" w:eastAsia="仿宋_GB2312" w:cs="仿宋_GB2312"/>
          <w:sz w:val="30"/>
          <w:szCs w:val="30"/>
          <w:highlight w:val="none"/>
          <w:lang w:val="zh-CN"/>
        </w:rPr>
        <w:t>，毗邻</w:t>
      </w:r>
      <w:r>
        <w:rPr>
          <w:rFonts w:hint="eastAsia" w:ascii="仿宋_GB2312" w:hAnsi="仿宋_GB2312" w:eastAsia="仿宋_GB2312" w:cs="仿宋_GB2312"/>
          <w:sz w:val="30"/>
          <w:szCs w:val="30"/>
          <w:highlight w:val="none"/>
        </w:rPr>
        <w:t>成都</w:t>
      </w:r>
      <w:r>
        <w:rPr>
          <w:rFonts w:hint="eastAsia" w:ascii="仿宋_GB2312" w:hAnsi="仿宋_GB2312" w:eastAsia="仿宋_GB2312" w:cs="仿宋_GB2312"/>
          <w:sz w:val="30"/>
          <w:szCs w:val="30"/>
          <w:highlight w:val="none"/>
          <w:lang w:val="zh-CN"/>
        </w:rPr>
        <w:t>动物园和</w:t>
      </w:r>
      <w:r>
        <w:rPr>
          <w:rFonts w:hint="eastAsia" w:ascii="仿宋_GB2312" w:hAnsi="仿宋_GB2312" w:eastAsia="仿宋_GB2312" w:cs="仿宋_GB2312"/>
          <w:sz w:val="30"/>
          <w:szCs w:val="30"/>
          <w:highlight w:val="none"/>
        </w:rPr>
        <w:t>川西第一禅</w:t>
      </w:r>
      <w:r>
        <w:rPr>
          <w:rFonts w:hint="eastAsia" w:ascii="仿宋_GB2312" w:hAnsi="仿宋_GB2312" w:eastAsia="仿宋_GB2312" w:cs="仿宋_GB2312"/>
          <w:kern w:val="2"/>
          <w:sz w:val="30"/>
          <w:szCs w:val="30"/>
          <w:highlight w:val="none"/>
          <w:lang w:val="en-US" w:eastAsia="zh-CN" w:bidi="ar-SA"/>
        </w:rPr>
        <w:t>林</w:t>
      </w:r>
      <w:r>
        <w:rPr>
          <w:rFonts w:hint="eastAsia" w:ascii="仿宋_GB2312" w:hAnsi="仿宋_GB2312" w:eastAsia="仿宋_GB2312" w:cs="仿宋_GB2312"/>
          <w:kern w:val="2"/>
          <w:sz w:val="30"/>
          <w:szCs w:val="30"/>
          <w:highlight w:val="none"/>
          <w:lang w:val="zh-CN" w:eastAsia="zh-CN" w:bidi="ar-SA"/>
        </w:rPr>
        <w:t>昭觉寺，</w:t>
      </w:r>
      <w:r>
        <w:rPr>
          <w:rFonts w:hint="eastAsia" w:ascii="仿宋_GB2312" w:hAnsi="仿宋_GB2312" w:eastAsia="仿宋_GB2312" w:cs="仿宋_GB2312"/>
          <w:kern w:val="2"/>
          <w:sz w:val="30"/>
          <w:szCs w:val="30"/>
          <w:highlight w:val="none"/>
          <w:lang w:val="en-US" w:eastAsia="zh-CN" w:bidi="ar-SA"/>
        </w:rPr>
        <w:t>距离大熊猫基地仅10分钟车程。</w:t>
      </w:r>
    </w:p>
    <w:p>
      <w:pPr>
        <w:pStyle w:val="5"/>
        <w:ind w:firstLine="600" w:firstLineChars="20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项目占地85.4亩，总建筑面积约12.6</w:t>
      </w:r>
      <w:r>
        <w:rPr>
          <w:rFonts w:hint="eastAsia" w:ascii="仿宋_GB2312" w:hAnsi="仿宋_GB2312" w:eastAsia="仿宋_GB2312" w:cs="仿宋_GB2312"/>
          <w:kern w:val="2"/>
          <w:sz w:val="30"/>
          <w:szCs w:val="30"/>
          <w:highlight w:val="none"/>
          <w:lang w:val="zh-CN" w:eastAsia="zh-CN" w:bidi="ar-SA"/>
        </w:rPr>
        <w:t>万平方米</w:t>
      </w:r>
      <w:r>
        <w:rPr>
          <w:rFonts w:hint="eastAsia" w:ascii="仿宋_GB2312" w:hAnsi="仿宋_GB2312" w:eastAsia="仿宋_GB2312" w:cs="仿宋_GB2312"/>
          <w:kern w:val="2"/>
          <w:sz w:val="30"/>
          <w:szCs w:val="30"/>
          <w:highlight w:val="none"/>
          <w:lang w:val="en-US" w:eastAsia="zh-CN" w:bidi="ar-SA"/>
        </w:rPr>
        <w:t>，计划总投资19.5亿元</w:t>
      </w:r>
      <w:r>
        <w:rPr>
          <w:rFonts w:hint="eastAsia" w:ascii="仿宋_GB2312" w:hAnsi="仿宋_GB2312" w:eastAsia="仿宋_GB2312" w:cs="仿宋_GB2312"/>
          <w:kern w:val="2"/>
          <w:sz w:val="30"/>
          <w:szCs w:val="30"/>
          <w:highlight w:val="none"/>
          <w:lang w:val="zh-CN" w:eastAsia="zh-CN" w:bidi="ar-SA"/>
        </w:rPr>
        <w:t>，项目</w:t>
      </w:r>
      <w:r>
        <w:rPr>
          <w:rFonts w:hint="eastAsia" w:ascii="仿宋_GB2312" w:hAnsi="仿宋_GB2312" w:eastAsia="仿宋_GB2312" w:cs="仿宋_GB2312"/>
          <w:kern w:val="2"/>
          <w:sz w:val="30"/>
          <w:szCs w:val="30"/>
          <w:highlight w:val="none"/>
          <w:lang w:val="en-US" w:eastAsia="zh-CN" w:bidi="ar-SA"/>
        </w:rPr>
        <w:t>已</w:t>
      </w:r>
      <w:r>
        <w:rPr>
          <w:rFonts w:hint="eastAsia" w:ascii="仿宋_GB2312" w:hAnsi="仿宋_GB2312" w:eastAsia="仿宋_GB2312" w:cs="仿宋_GB2312"/>
          <w:kern w:val="2"/>
          <w:sz w:val="30"/>
          <w:szCs w:val="30"/>
          <w:highlight w:val="none"/>
          <w:lang w:val="zh-CN" w:eastAsia="zh-CN" w:bidi="ar-SA"/>
        </w:rPr>
        <w:t>于2021年12月全面动工，</w:t>
      </w:r>
      <w:r>
        <w:rPr>
          <w:rFonts w:hint="eastAsia" w:ascii="仿宋_GB2312" w:hAnsi="仿宋_GB2312" w:eastAsia="仿宋_GB2312" w:cs="仿宋_GB2312"/>
          <w:kern w:val="2"/>
          <w:sz w:val="30"/>
          <w:szCs w:val="30"/>
          <w:highlight w:val="none"/>
          <w:lang w:val="en-US" w:eastAsia="zh-CN" w:bidi="ar-SA"/>
        </w:rPr>
        <w:t>项目展示区已于2021年10月建成开放，并于2023年12月</w:t>
      </w:r>
      <w:r>
        <w:rPr>
          <w:rFonts w:hint="eastAsia" w:ascii="仿宋_GB2312" w:hAnsi="仿宋_GB2312" w:eastAsia="仿宋_GB2312" w:cs="仿宋_GB2312"/>
          <w:kern w:val="2"/>
          <w:sz w:val="30"/>
          <w:szCs w:val="30"/>
          <w:highlight w:val="none"/>
          <w:lang w:val="zh-CN" w:eastAsia="zh-CN" w:bidi="ar-SA"/>
        </w:rPr>
        <w:t>竣工</w:t>
      </w:r>
      <w:r>
        <w:rPr>
          <w:rFonts w:hint="eastAsia" w:ascii="仿宋_GB2312" w:hAnsi="仿宋_GB2312" w:eastAsia="仿宋_GB2312" w:cs="仿宋_GB2312"/>
          <w:kern w:val="2"/>
          <w:sz w:val="30"/>
          <w:szCs w:val="30"/>
          <w:highlight w:val="none"/>
          <w:lang w:val="en-US" w:eastAsia="zh-CN" w:bidi="ar-SA"/>
        </w:rPr>
        <w:t>验收</w:t>
      </w:r>
      <w:r>
        <w:rPr>
          <w:rFonts w:hint="eastAsia" w:ascii="仿宋_GB2312" w:hAnsi="仿宋_GB2312" w:eastAsia="仿宋_GB2312" w:cs="仿宋_GB2312"/>
          <w:kern w:val="2"/>
          <w:sz w:val="30"/>
          <w:szCs w:val="30"/>
          <w:highlight w:val="none"/>
          <w:lang w:val="zh-CN" w:eastAsia="zh-CN" w:bidi="ar-SA"/>
        </w:rPr>
        <w:t>，</w:t>
      </w:r>
      <w:r>
        <w:rPr>
          <w:rFonts w:hint="eastAsia" w:ascii="仿宋_GB2312" w:hAnsi="仿宋_GB2312" w:eastAsia="仿宋_GB2312" w:cs="仿宋_GB2312"/>
          <w:kern w:val="2"/>
          <w:sz w:val="30"/>
          <w:szCs w:val="30"/>
          <w:highlight w:val="none"/>
          <w:lang w:val="en-US" w:eastAsia="zh-CN" w:bidi="ar-SA"/>
        </w:rPr>
        <w:t>计划</w:t>
      </w:r>
      <w:r>
        <w:rPr>
          <w:rFonts w:hint="eastAsia" w:ascii="仿宋_GB2312" w:hAnsi="仿宋_GB2312" w:eastAsia="仿宋_GB2312" w:cs="仿宋_GB2312"/>
          <w:kern w:val="2"/>
          <w:sz w:val="30"/>
          <w:szCs w:val="30"/>
          <w:highlight w:val="none"/>
          <w:lang w:val="zh-CN" w:eastAsia="zh-CN" w:bidi="ar-SA"/>
        </w:rPr>
        <w:t>2024</w:t>
      </w:r>
      <w:r>
        <w:rPr>
          <w:rFonts w:hint="eastAsia" w:ascii="仿宋_GB2312" w:hAnsi="仿宋_GB2312" w:eastAsia="仿宋_GB2312" w:cs="仿宋_GB2312"/>
          <w:kern w:val="2"/>
          <w:sz w:val="30"/>
          <w:szCs w:val="30"/>
          <w:highlight w:val="none"/>
          <w:lang w:val="en-US" w:eastAsia="zh-CN" w:bidi="ar-SA"/>
        </w:rPr>
        <w:t>年9月全面</w:t>
      </w:r>
      <w:r>
        <w:rPr>
          <w:rFonts w:hint="eastAsia" w:ascii="仿宋_GB2312" w:hAnsi="仿宋_GB2312" w:eastAsia="仿宋_GB2312" w:cs="仿宋_GB2312"/>
          <w:kern w:val="2"/>
          <w:sz w:val="30"/>
          <w:szCs w:val="30"/>
          <w:highlight w:val="none"/>
          <w:lang w:val="zh-CN" w:eastAsia="zh-CN" w:bidi="ar-SA"/>
        </w:rPr>
        <w:t>投入运营。</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四川旅投漫话世界旅游开发有限责任公司拟对天府国际动漫城商业街区</w:t>
      </w:r>
      <w:r>
        <w:rPr>
          <w:rFonts w:hint="eastAsia" w:ascii="仿宋_GB2312" w:hAnsi="仿宋_GB2312" w:eastAsia="仿宋_GB2312" w:cs="仿宋_GB2312"/>
          <w:sz w:val="30"/>
          <w:szCs w:val="30"/>
          <w:highlight w:val="none"/>
          <w:lang w:val="en-US" w:eastAsia="zh-CN"/>
        </w:rPr>
        <w:t>B3</w:t>
      </w:r>
      <w:r>
        <w:rPr>
          <w:rFonts w:hint="eastAsia" w:ascii="仿宋_GB2312" w:hAnsi="仿宋_GB2312" w:eastAsia="仿宋_GB2312" w:cs="仿宋_GB2312"/>
          <w:sz w:val="30"/>
          <w:szCs w:val="30"/>
          <w:highlight w:val="none"/>
          <w:lang w:eastAsia="zh-CN"/>
        </w:rPr>
        <w:t>号楼</w:t>
      </w:r>
      <w:r>
        <w:rPr>
          <w:rFonts w:hint="eastAsia" w:ascii="仿宋_GB2312" w:hAnsi="仿宋_GB2312" w:eastAsia="仿宋_GB2312" w:cs="仿宋_GB2312"/>
          <w:sz w:val="30"/>
          <w:szCs w:val="30"/>
          <w:highlight w:val="none"/>
          <w:lang w:val="en-US" w:eastAsia="zh-CN"/>
        </w:rPr>
        <w:t>101</w:t>
      </w:r>
      <w:r>
        <w:rPr>
          <w:rFonts w:hint="eastAsia" w:ascii="仿宋_GB2312" w:hAnsi="仿宋_GB2312" w:eastAsia="仿宋_GB2312" w:cs="仿宋_GB2312"/>
          <w:sz w:val="30"/>
          <w:szCs w:val="30"/>
          <w:highlight w:val="none"/>
          <w:lang w:eastAsia="zh-CN"/>
        </w:rPr>
        <w:t>号</w:t>
      </w:r>
      <w:r>
        <w:rPr>
          <w:rFonts w:hint="eastAsia" w:ascii="仿宋_GB2312" w:hAnsi="仿宋_GB2312" w:eastAsia="仿宋_GB2312" w:cs="仿宋_GB2312"/>
          <w:sz w:val="30"/>
          <w:szCs w:val="30"/>
          <w:highlight w:val="none"/>
          <w:lang w:val="en-US" w:eastAsia="zh-CN"/>
        </w:rPr>
        <w:t>活动联办</w:t>
      </w:r>
      <w:r>
        <w:rPr>
          <w:rFonts w:hint="eastAsia" w:ascii="仿宋_GB2312" w:hAnsi="仿宋_GB2312" w:eastAsia="仿宋_GB2312" w:cs="仿宋_GB2312"/>
          <w:sz w:val="30"/>
          <w:szCs w:val="30"/>
          <w:highlight w:val="none"/>
        </w:rPr>
        <w:t>合作方进行公开招募，通过综合评议的方式确定合作方。现诚邀符合要求的意向合作方参加本项目的公开招募，并将有关事项公告如下：</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一、合作物业的基本情况及招募条件:</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(一)物业基本情况</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1.物业名称:天府国际动漫城商业街区</w:t>
      </w:r>
      <w:r>
        <w:rPr>
          <w:rFonts w:hint="eastAsia" w:ascii="仿宋_GB2312" w:hAnsi="仿宋_GB2312" w:eastAsia="仿宋_GB2312" w:cs="仿宋_GB2312"/>
          <w:sz w:val="30"/>
          <w:szCs w:val="30"/>
          <w:highlight w:val="none"/>
          <w:u w:val="single"/>
          <w:lang w:val="en-US" w:eastAsia="zh-CN"/>
        </w:rPr>
        <w:t>B3号楼101</w:t>
      </w:r>
      <w:r>
        <w:rPr>
          <w:rFonts w:hint="eastAsia" w:ascii="仿宋_GB2312" w:hAnsi="仿宋_GB2312" w:eastAsia="仿宋_GB2312" w:cs="仿宋_GB2312"/>
          <w:sz w:val="30"/>
          <w:szCs w:val="30"/>
          <w:highlight w:val="none"/>
          <w:lang w:val="en-US" w:eastAsia="zh-CN"/>
        </w:rPr>
        <w:t>号</w:t>
      </w:r>
      <w:r>
        <w:rPr>
          <w:rFonts w:hint="eastAsia" w:ascii="仿宋_GB2312" w:hAnsi="仿宋_GB2312" w:eastAsia="仿宋_GB2312" w:cs="仿宋_GB2312"/>
          <w:sz w:val="30"/>
          <w:szCs w:val="30"/>
          <w:highlight w:val="none"/>
        </w:rPr>
        <w:t>（详见附件1</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总平图</w:t>
      </w:r>
      <w:r>
        <w:rPr>
          <w:rFonts w:hint="eastAsia" w:ascii="仿宋_GB2312" w:hAnsi="仿宋_GB2312" w:eastAsia="仿宋_GB2312" w:cs="仿宋_GB2312"/>
          <w:sz w:val="30"/>
          <w:szCs w:val="30"/>
          <w:highlight w:val="none"/>
        </w:rPr>
        <w:t>）；</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2.地理位置:四川省成都市成华区</w:t>
      </w:r>
      <w:r>
        <w:rPr>
          <w:rFonts w:hint="eastAsia" w:ascii="仿宋_GB2312" w:hAnsi="仿宋_GB2312" w:eastAsia="仿宋_GB2312" w:cs="仿宋_GB2312"/>
          <w:sz w:val="30"/>
          <w:szCs w:val="30"/>
          <w:highlight w:val="none"/>
          <w:lang w:val="en-US" w:eastAsia="zh-CN"/>
        </w:rPr>
        <w:t>荆泰二路353号</w:t>
      </w:r>
      <w:r>
        <w:rPr>
          <w:rFonts w:hint="eastAsia" w:ascii="仿宋_GB2312" w:hAnsi="仿宋_GB2312" w:eastAsia="仿宋_GB2312" w:cs="仿宋_GB2312"/>
          <w:sz w:val="30"/>
          <w:szCs w:val="30"/>
          <w:highlight w:val="none"/>
        </w:rPr>
        <w:t>（详见附件2：地图）；</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.物业</w:t>
      </w:r>
      <w:r>
        <w:rPr>
          <w:rFonts w:hint="eastAsia" w:ascii="仿宋_GB2312" w:hAnsi="仿宋_GB2312" w:eastAsia="仿宋_GB2312" w:cs="仿宋_GB2312"/>
          <w:sz w:val="30"/>
          <w:szCs w:val="30"/>
          <w:highlight w:val="none"/>
          <w:lang w:val="en-US" w:eastAsia="zh-CN"/>
        </w:rPr>
        <w:t>建筑面积</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u w:val="single"/>
          <w:lang w:val="en-US" w:eastAsia="zh-CN"/>
        </w:rPr>
        <w:t xml:space="preserve"> 1681.67  </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物业交付标准</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现状交付</w:t>
      </w:r>
      <w:r>
        <w:rPr>
          <w:rFonts w:hint="eastAsia" w:ascii="仿宋_GB2312" w:hAnsi="仿宋_GB2312" w:eastAsia="仿宋_GB2312" w:cs="仿宋_GB2312"/>
          <w:sz w:val="30"/>
          <w:szCs w:val="30"/>
          <w:highlight w:val="none"/>
        </w:rPr>
        <w:t>；</w:t>
      </w:r>
    </w:p>
    <w:p>
      <w:pPr>
        <w:pStyle w:val="5"/>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5.活动定位：国际知名IP快闪展览。</w:t>
      </w:r>
    </w:p>
    <w:p>
      <w:pPr>
        <w:spacing w:line="576"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(二)合作条件</w:t>
      </w:r>
    </w:p>
    <w:p>
      <w:pPr>
        <w:spacing w:line="576"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1.一般条件</w:t>
      </w:r>
    </w:p>
    <w:p>
      <w:pPr>
        <w:spacing w:line="576"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合作区域、合作期限、竞争合作保证金、合作方式、履约保证金见下表:</w:t>
      </w:r>
    </w:p>
    <w:tbl>
      <w:tblPr>
        <w:tblStyle w:val="8"/>
        <w:tblpPr w:leftFromText="180" w:rightFromText="180" w:vertAnchor="text" w:horzAnchor="page" w:tblpXSpec="center" w:tblpY="534"/>
        <w:tblOverlap w:val="never"/>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100"/>
        <w:gridCol w:w="1310"/>
        <w:gridCol w:w="666"/>
        <w:gridCol w:w="868"/>
        <w:gridCol w:w="171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26"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物业名称</w:t>
            </w:r>
          </w:p>
        </w:tc>
        <w:tc>
          <w:tcPr>
            <w:tcW w:w="1100" w:type="dxa"/>
            <w:vAlign w:val="center"/>
          </w:tcPr>
          <w:p>
            <w:pPr>
              <w:jc w:val="center"/>
              <w:rPr>
                <w:rFonts w:hint="default" w:ascii="Times New Roman" w:hAnsi="Times New Roman" w:eastAsia="方正仿宋_GB2312" w:cs="Times New Roman"/>
                <w:b/>
                <w:bCs/>
                <w:sz w:val="18"/>
                <w:szCs w:val="18"/>
                <w:highlight w:val="none"/>
                <w:lang w:eastAsia="zh-CN"/>
              </w:rPr>
            </w:pPr>
            <w:r>
              <w:rPr>
                <w:rFonts w:hint="default" w:ascii="Times New Roman" w:hAnsi="Times New Roman" w:eastAsia="方正仿宋_GB2312" w:cs="Times New Roman"/>
                <w:b/>
                <w:bCs/>
                <w:sz w:val="18"/>
                <w:szCs w:val="18"/>
                <w:highlight w:val="none"/>
              </w:rPr>
              <w:t>合作</w:t>
            </w:r>
            <w:r>
              <w:rPr>
                <w:rFonts w:hint="default" w:ascii="Times New Roman" w:hAnsi="Times New Roman" w:eastAsia="方正仿宋_GB2312" w:cs="Times New Roman"/>
                <w:b/>
                <w:bCs/>
                <w:sz w:val="18"/>
                <w:szCs w:val="18"/>
                <w:highlight w:val="none"/>
                <w:lang w:val="en-US" w:eastAsia="zh-CN"/>
              </w:rPr>
              <w:t>面积</w:t>
            </w:r>
          </w:p>
        </w:tc>
        <w:tc>
          <w:tcPr>
            <w:tcW w:w="1310"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竞争</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合作保证金</w:t>
            </w:r>
          </w:p>
        </w:tc>
        <w:tc>
          <w:tcPr>
            <w:tcW w:w="666"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方式</w:t>
            </w:r>
          </w:p>
        </w:tc>
        <w:tc>
          <w:tcPr>
            <w:tcW w:w="868"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期限</w:t>
            </w:r>
          </w:p>
        </w:tc>
        <w:tc>
          <w:tcPr>
            <w:tcW w:w="1716" w:type="dxa"/>
            <w:vAlign w:val="center"/>
          </w:tcPr>
          <w:p>
            <w:pPr>
              <w:pStyle w:val="5"/>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票务分成（%）</w:t>
            </w:r>
          </w:p>
        </w:tc>
        <w:tc>
          <w:tcPr>
            <w:tcW w:w="1716" w:type="dxa"/>
            <w:vAlign w:val="center"/>
          </w:tcPr>
          <w:p>
            <w:pPr>
              <w:pStyle w:val="5"/>
              <w:jc w:val="center"/>
              <w:rPr>
                <w:rFonts w:hint="default" w:ascii="Times New Roman" w:hAnsi="Times New Roman" w:eastAsia="方正仿宋_GB2312" w:cs="Times New Roman"/>
                <w:b/>
                <w:bCs/>
                <w:sz w:val="15"/>
                <w:szCs w:val="15"/>
                <w:highlight w:val="none"/>
                <w:lang w:val="en-US" w:eastAsia="zh-CN"/>
              </w:rPr>
            </w:pPr>
            <w:r>
              <w:rPr>
                <w:rFonts w:hint="eastAsia" w:ascii="Times New Roman" w:hAnsi="Times New Roman" w:eastAsia="方正仿宋_GB2312" w:cs="Times New Roman"/>
                <w:b/>
                <w:bCs/>
                <w:sz w:val="15"/>
                <w:szCs w:val="15"/>
                <w:highlight w:val="none"/>
                <w:lang w:val="en-US" w:eastAsia="zh-CN"/>
              </w:rPr>
              <w:t>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426"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sz w:val="16"/>
                <w:szCs w:val="16"/>
                <w:highlight w:val="none"/>
                <w:lang w:val="en-US" w:eastAsia="zh-CN"/>
              </w:rPr>
              <w:t>B3号楼101号</w:t>
            </w:r>
          </w:p>
        </w:tc>
        <w:tc>
          <w:tcPr>
            <w:tcW w:w="1100"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eastAsia" w:ascii="Times New Roman" w:hAnsi="Times New Roman" w:eastAsia="方正仿宋_GB2312" w:cs="Times New Roman"/>
                <w:sz w:val="18"/>
                <w:szCs w:val="18"/>
                <w:highlight w:val="none"/>
                <w:lang w:val="en-US" w:eastAsia="zh-CN"/>
              </w:rPr>
              <w:t>1681.67</w:t>
            </w:r>
            <w:r>
              <w:rPr>
                <w:rFonts w:hint="default" w:ascii="Times New Roman" w:hAnsi="Times New Roman" w:eastAsia="方正仿宋_GB2312" w:cs="Times New Roman"/>
                <w:sz w:val="18"/>
                <w:szCs w:val="18"/>
                <w:highlight w:val="none"/>
              </w:rPr>
              <w:t>㎡</w:t>
            </w:r>
          </w:p>
        </w:tc>
        <w:tc>
          <w:tcPr>
            <w:tcW w:w="1310"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eastAsia" w:ascii="Times New Roman" w:hAnsi="Times New Roman" w:eastAsia="方正仿宋_GB2312" w:cs="Times New Roman"/>
                <w:sz w:val="18"/>
                <w:szCs w:val="18"/>
                <w:highlight w:val="none"/>
                <w:lang w:val="en-US" w:eastAsia="zh-CN"/>
              </w:rPr>
              <w:t>3</w:t>
            </w:r>
            <w:r>
              <w:rPr>
                <w:rFonts w:hint="default" w:ascii="Times New Roman" w:hAnsi="Times New Roman" w:eastAsia="方正仿宋_GB2312" w:cs="Times New Roman"/>
                <w:sz w:val="18"/>
                <w:szCs w:val="18"/>
                <w:highlight w:val="none"/>
              </w:rPr>
              <w:t>万元</w:t>
            </w:r>
          </w:p>
        </w:tc>
        <w:tc>
          <w:tcPr>
            <w:tcW w:w="666"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sz w:val="18"/>
                <w:szCs w:val="18"/>
                <w:highlight w:val="none"/>
                <w:lang w:val="en-US" w:eastAsia="zh-CN"/>
              </w:rPr>
              <w:t>合作扣点</w:t>
            </w:r>
          </w:p>
        </w:tc>
        <w:tc>
          <w:tcPr>
            <w:tcW w:w="868"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4个月</w:t>
            </w:r>
          </w:p>
        </w:tc>
        <w:tc>
          <w:tcPr>
            <w:tcW w:w="1716"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sz w:val="18"/>
                <w:szCs w:val="18"/>
                <w:highlight w:val="none"/>
                <w:lang w:val="en-US" w:eastAsia="zh-CN"/>
              </w:rPr>
              <w:t>≥6%</w:t>
            </w:r>
          </w:p>
        </w:tc>
        <w:tc>
          <w:tcPr>
            <w:tcW w:w="1716" w:type="dxa"/>
            <w:vAlign w:val="center"/>
          </w:tcPr>
          <w:p>
            <w:pPr>
              <w:spacing w:line="480" w:lineRule="auto"/>
              <w:jc w:val="center"/>
              <w:rPr>
                <w:rFonts w:hint="default" w:ascii="Times New Roman" w:hAnsi="Times New Roman" w:eastAsia="方正仿宋_GB2312" w:cs="Times New Roman"/>
                <w:sz w:val="18"/>
                <w:szCs w:val="18"/>
                <w:highlight w:val="none"/>
                <w:lang w:val="en-US" w:eastAsia="zh-CN"/>
              </w:rPr>
            </w:pPr>
            <w:r>
              <w:rPr>
                <w:rFonts w:hint="eastAsia" w:ascii="Times New Roman" w:hAnsi="Times New Roman" w:eastAsia="方正仿宋_GB2312" w:cs="Times New Roman"/>
                <w:sz w:val="18"/>
                <w:szCs w:val="18"/>
                <w:highlight w:val="none"/>
                <w:lang w:val="en-US" w:eastAsia="zh-CN"/>
              </w:rPr>
              <w:t>不递增</w:t>
            </w:r>
          </w:p>
        </w:tc>
      </w:tr>
    </w:tbl>
    <w:p>
      <w:pPr>
        <w:numPr>
          <w:ilvl w:val="0"/>
          <w:numId w:val="2"/>
        </w:numPr>
        <w:spacing w:line="576" w:lineRule="exact"/>
        <w:ind w:firstLine="600" w:firstLineChars="200"/>
        <w:rPr>
          <w:rFonts w:hint="eastAsia" w:ascii="Times New Roman" w:hAnsi="Times New Roman" w:eastAsia="方正仿宋_GB2312" w:cs="Times New Roman"/>
          <w:color w:val="auto"/>
          <w:sz w:val="30"/>
          <w:szCs w:val="30"/>
          <w:highlight w:val="none"/>
          <w:lang w:val="en-US" w:eastAsia="zh-CN"/>
        </w:rPr>
      </w:pPr>
      <w:r>
        <w:rPr>
          <w:rFonts w:hint="eastAsia" w:ascii="Times New Roman" w:hAnsi="Times New Roman" w:eastAsia="方正仿宋_GB2312" w:cs="Times New Roman"/>
          <w:color w:val="auto"/>
          <w:sz w:val="30"/>
          <w:szCs w:val="30"/>
          <w:highlight w:val="none"/>
          <w:lang w:val="en-US" w:eastAsia="zh-CN"/>
        </w:rPr>
        <w:t>合作条件</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（1）合作方需引入国际知名IP展览内容，如DC、索尼、漫威、迪士尼等;</w:t>
      </w:r>
    </w:p>
    <w:p>
      <w:pPr>
        <w:numPr>
          <w:ilvl w:val="0"/>
          <w:numId w:val="0"/>
        </w:numPr>
        <w:spacing w:line="576" w:lineRule="exact"/>
        <w:ind w:firstLine="600" w:firstLineChars="200"/>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（2）展陈内容需包含但不限于雕塑、模型、版画、沉浸式体验等；</w:t>
      </w:r>
    </w:p>
    <w:p>
      <w:pPr>
        <w:numPr>
          <w:ilvl w:val="0"/>
          <w:numId w:val="0"/>
        </w:numPr>
        <w:spacing w:line="576" w:lineRule="exact"/>
        <w:ind w:firstLine="600" w:firstLineChars="200"/>
        <w:rPr>
          <w:rFonts w:hint="default"/>
          <w:highlight w:val="none"/>
          <w:lang w:val="en-US" w:eastAsia="zh-CN"/>
        </w:rPr>
      </w:pPr>
      <w:r>
        <w:rPr>
          <w:rFonts w:hint="eastAsia" w:ascii="仿宋_GB2312" w:hAnsi="仿宋_GB2312" w:eastAsia="仿宋_GB2312" w:cs="仿宋_GB2312"/>
          <w:color w:val="auto"/>
          <w:sz w:val="30"/>
          <w:szCs w:val="30"/>
          <w:highlight w:val="none"/>
          <w:lang w:val="en-US" w:eastAsia="zh-CN"/>
        </w:rPr>
        <w:t>（3）展出IP授权雕塑数量不少于35尊，大体2米以上的雕塑不少于1个；</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（4）合作方提供的主题展的内容必须符合社会主义主流价值观，主题内容需报漫话公司审核，漫话公司同意后，方可展出；</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（5）合作方取得正版IP授权；</w:t>
      </w:r>
    </w:p>
    <w:p>
      <w:pPr>
        <w:ind w:firstLine="56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（6）票务收入进合作方账户，合作方向漫话世界开放票务平台登陆权限，接受漫话世界公司对合作经营期间财务状况监督审查；</w:t>
      </w:r>
    </w:p>
    <w:p>
      <w:pPr>
        <w:pStyle w:val="2"/>
        <w:ind w:firstLine="560"/>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（7）票务收入分成按月度结算，由合作方支付给漫话世界公司；</w:t>
      </w:r>
    </w:p>
    <w:p>
      <w:pPr>
        <w:ind w:firstLine="600" w:firstLineChars="200"/>
        <w:rPr>
          <w:rFonts w:hint="default"/>
          <w:lang w:val="en-US" w:eastAsia="zh-CN"/>
        </w:rPr>
      </w:pPr>
      <w:r>
        <w:rPr>
          <w:rFonts w:hint="eastAsia" w:ascii="仿宋_GB2312" w:hAnsi="仿宋_GB2312" w:eastAsia="仿宋_GB2312" w:cs="仿宋_GB2312"/>
          <w:color w:val="auto"/>
          <w:kern w:val="2"/>
          <w:sz w:val="30"/>
          <w:szCs w:val="30"/>
          <w:highlight w:val="none"/>
          <w:lang w:val="en-US" w:eastAsia="zh-CN" w:bidi="ar-SA"/>
        </w:rPr>
        <w:t>（8）合作方需在9月26日前完成布展，9月26日正式营业。</w:t>
      </w:r>
    </w:p>
    <w:p>
      <w:pPr>
        <w:numPr>
          <w:ilvl w:val="0"/>
          <w:numId w:val="2"/>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管理要求及退出机制</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(1)合作方场地改造方案需报漫话世界公司，审核后实施。</w:t>
      </w:r>
    </w:p>
    <w:p>
      <w:pPr>
        <w:numPr>
          <w:ilvl w:val="0"/>
          <w:numId w:val="0"/>
        </w:numPr>
        <w:spacing w:line="576" w:lineRule="exact"/>
        <w:ind w:firstLine="600" w:firstLineChars="200"/>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(2)目标管控：双方签订合作协议时，合作方必须取得IP方相关授权，若未取得，漫话世界公司有权拒绝签订合作协议。</w:t>
      </w:r>
    </w:p>
    <w:p>
      <w:pPr>
        <w:spacing w:line="576" w:lineRule="exact"/>
        <w:ind w:firstLine="600" w:firstLineChars="2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商务合作及招募条件细节详询：</w:t>
      </w:r>
      <w:r>
        <w:rPr>
          <w:rFonts w:hint="eastAsia" w:ascii="仿宋_GB2312" w:hAnsi="仿宋_GB2312" w:eastAsia="仿宋_GB2312" w:cs="仿宋_GB2312"/>
          <w:sz w:val="30"/>
          <w:szCs w:val="30"/>
          <w:highlight w:val="none"/>
          <w:lang w:val="en-US" w:eastAsia="zh-CN"/>
        </w:rPr>
        <w:t>潘先生</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18201808805</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二、招募方式</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采取在四川旅投旅游创新开发有限责任公司官网、天府国际动漫城微信公众号公开发布招募公告并以综合评议方式确定合作方。</w:t>
      </w:r>
    </w:p>
    <w:p>
      <w:pPr>
        <w:spacing w:line="576"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highlight w:val="none"/>
        </w:rPr>
        <w:t xml:space="preserve">(一)本次公开招募信息公告将在四川旅投旅游创新开发有限责任公司官网、天府国际动漫城微信公众号进行公示，公示期为 </w:t>
      </w: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 xml:space="preserve"> 个工作日，公示时间为</w:t>
      </w:r>
      <w:r>
        <w:rPr>
          <w:rFonts w:hint="eastAsia" w:ascii="仿宋_GB2312" w:hAnsi="仿宋_GB2312" w:eastAsia="仿宋_GB2312" w:cs="仿宋_GB2312"/>
          <w:color w:val="auto"/>
          <w:sz w:val="30"/>
          <w:szCs w:val="30"/>
          <w:highlight w:val="none"/>
        </w:rPr>
        <w:t>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8</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29</w:t>
      </w:r>
      <w:r>
        <w:rPr>
          <w:rFonts w:hint="eastAsia" w:ascii="仿宋_GB2312" w:hAnsi="仿宋_GB2312" w:eastAsia="仿宋_GB2312" w:cs="仿宋_GB2312"/>
          <w:color w:val="auto"/>
          <w:sz w:val="30"/>
          <w:szCs w:val="30"/>
          <w:highlight w:val="none"/>
        </w:rPr>
        <w:t>日-202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日。综合评议时间为202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日09:30。</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0"/>
          <w:szCs w:val="30"/>
          <w:highlight w:val="none"/>
        </w:rPr>
        <w:t>(二)意向合作方需在202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日17:00 前，</w:t>
      </w:r>
      <w:r>
        <w:rPr>
          <w:rFonts w:hint="eastAsia" w:ascii="仿宋_GB2312" w:hAnsi="仿宋_GB2312" w:eastAsia="仿宋_GB2312" w:cs="仿宋_GB2312"/>
          <w:sz w:val="30"/>
          <w:szCs w:val="30"/>
          <w:highlight w:val="none"/>
        </w:rPr>
        <w:t>提交加盖公章的《响应文件》中的</w:t>
      </w:r>
      <w:r>
        <w:rPr>
          <w:rFonts w:hint="eastAsia" w:ascii="仿宋_GB2312" w:hAnsi="仿宋_GB2312" w:eastAsia="仿宋_GB2312" w:cs="仿宋_GB2312"/>
          <w:sz w:val="30"/>
          <w:szCs w:val="30"/>
          <w:highlight w:val="none"/>
          <w:lang w:bidi="ar"/>
        </w:rPr>
        <w:t>营业执照复印件、法定代表人身份证复印件、合作资格证明材料（均须加盖公章）、电子邮箱地址与电话、法定代表人授权委托书（如有）</w:t>
      </w:r>
      <w:r>
        <w:rPr>
          <w:rFonts w:hint="eastAsia" w:ascii="仿宋_GB2312" w:hAnsi="仿宋_GB2312" w:eastAsia="仿宋_GB2312" w:cs="仿宋_GB2312"/>
          <w:sz w:val="30"/>
          <w:szCs w:val="30"/>
          <w:highlight w:val="none"/>
        </w:rPr>
        <w:t>的电子版至邮箱TFGJDMC@163.COM，项目方将根据意向合作方提交的《响应文件》中的相关资料进行资格审查，并以电话</w:t>
      </w:r>
      <w:r>
        <w:rPr>
          <w:rFonts w:hint="eastAsia" w:ascii="仿宋_GB2312" w:hAnsi="仿宋_GB2312" w:eastAsia="仿宋_GB2312" w:cs="仿宋_GB2312"/>
          <w:sz w:val="30"/>
          <w:szCs w:val="30"/>
          <w:highlight w:val="none"/>
          <w:lang w:val="en-US" w:eastAsia="zh-CN"/>
        </w:rPr>
        <w:t>或</w:t>
      </w:r>
      <w:r>
        <w:rPr>
          <w:rFonts w:hint="eastAsia" w:ascii="仿宋_GB2312" w:hAnsi="仿宋_GB2312" w:eastAsia="仿宋_GB2312" w:cs="仿宋_GB2312"/>
          <w:sz w:val="30"/>
          <w:szCs w:val="30"/>
          <w:highlight w:val="none"/>
        </w:rPr>
        <w:t>邮件的形式通知符合合作资格的意向合作方在</w:t>
      </w:r>
      <w:r>
        <w:rPr>
          <w:rFonts w:hint="eastAsia" w:ascii="仿宋_GB2312" w:hAnsi="仿宋_GB2312" w:eastAsia="仿宋_GB2312" w:cs="仿宋_GB2312"/>
          <w:color w:val="auto"/>
          <w:sz w:val="30"/>
          <w:szCs w:val="30"/>
          <w:highlight w:val="none"/>
        </w:rPr>
        <w:t>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w:t>
      </w:r>
      <w:r>
        <w:rPr>
          <w:rFonts w:hint="eastAsia" w:ascii="仿宋_GB2312" w:hAnsi="仿宋_GB2312" w:eastAsia="仿宋_GB2312" w:cs="仿宋_GB2312"/>
          <w:color w:val="auto"/>
          <w:sz w:val="30"/>
          <w:szCs w:val="30"/>
          <w:highlight w:val="none"/>
          <w:lang w:val="en-US" w:eastAsia="zh-CN"/>
        </w:rPr>
        <w:t>9</w:t>
      </w:r>
      <w:r>
        <w:rPr>
          <w:rFonts w:hint="eastAsia" w:ascii="仿宋_GB2312" w:hAnsi="仿宋_GB2312" w:eastAsia="仿宋_GB2312" w:cs="仿宋_GB2312"/>
          <w:color w:val="auto"/>
          <w:sz w:val="30"/>
          <w:szCs w:val="30"/>
          <w:highlight w:val="none"/>
        </w:rPr>
        <w:t>月</w:t>
      </w:r>
      <w:r>
        <w:rPr>
          <w:rFonts w:hint="eastAsia" w:ascii="仿宋_GB2312" w:hAnsi="仿宋_GB2312" w:eastAsia="仿宋_GB2312" w:cs="仿宋_GB2312"/>
          <w:color w:val="auto"/>
          <w:sz w:val="30"/>
          <w:szCs w:val="30"/>
          <w:highlight w:val="none"/>
          <w:lang w:val="en-US" w:eastAsia="zh-CN"/>
        </w:rPr>
        <w:t>5</w:t>
      </w:r>
      <w:r>
        <w:rPr>
          <w:rFonts w:hint="eastAsia" w:ascii="仿宋_GB2312" w:hAnsi="仿宋_GB2312" w:eastAsia="仿宋_GB2312" w:cs="仿宋_GB2312"/>
          <w:color w:val="auto"/>
          <w:sz w:val="30"/>
          <w:szCs w:val="30"/>
          <w:highlight w:val="none"/>
        </w:rPr>
        <w:t>日17:00 前</w:t>
      </w:r>
      <w:r>
        <w:rPr>
          <w:rFonts w:hint="eastAsia" w:ascii="仿宋_GB2312" w:hAnsi="仿宋_GB2312" w:eastAsia="仿宋_GB2312" w:cs="仿宋_GB2312"/>
          <w:sz w:val="30"/>
          <w:szCs w:val="30"/>
          <w:highlight w:val="none"/>
        </w:rPr>
        <w:t>足额缴纳竞争合作保证金，逾期视为自动放弃合作资格，意向合作方需自行向项目方取得竞争合作保证金的收据。</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竞争合作保证金收款账户信息:</w:t>
      </w:r>
    </w:p>
    <w:p>
      <w:pPr>
        <w:spacing w:line="576" w:lineRule="exact"/>
        <w:ind w:left="638" w:leftChars="30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账户名称：四川旅投漫话世界旅游开发有限责任公司</w:t>
      </w:r>
    </w:p>
    <w:p>
      <w:pPr>
        <w:spacing w:line="576" w:lineRule="exact"/>
        <w:ind w:left="638" w:leftChars="30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银行账号：431020100101535619</w:t>
      </w:r>
    </w:p>
    <w:p>
      <w:pPr>
        <w:spacing w:line="576" w:lineRule="exact"/>
        <w:ind w:left="638" w:leftChars="304"/>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开户银行：兴业银行股份有限公司成都分行</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(三)通过合作资格审查且足额缴纳竞争合作保证金的意向合作方应于 202</w:t>
      </w: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9</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6</w:t>
      </w:r>
      <w:r>
        <w:rPr>
          <w:rFonts w:hint="eastAsia" w:ascii="仿宋_GB2312" w:hAnsi="仿宋_GB2312" w:eastAsia="仿宋_GB2312" w:cs="仿宋_GB2312"/>
          <w:sz w:val="30"/>
          <w:szCs w:val="30"/>
          <w:highlight w:val="none"/>
        </w:rPr>
        <w:t>日上午 09:30 前至综合评议现场提供《响应文件》全套纸质资料(1 正本4 副本)参加综合评议。逾期送达或未送达指定地点的，视为自动放弃合作资格。若意向合作方现场提供的《响应文件》与报名时提交的电子版材料不相符，则取消该意向合作方合作资格。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综合评议地点:成都市成华区天府国际动漫城展示区</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若因特殊原因综合评议时间可能延后，最终时间以</w:t>
      </w:r>
      <w:r>
        <w:rPr>
          <w:rFonts w:hint="eastAsia" w:ascii="仿宋_GB2312" w:hAnsi="仿宋_GB2312" w:eastAsia="仿宋_GB2312" w:cs="仿宋_GB2312"/>
          <w:sz w:val="30"/>
          <w:szCs w:val="30"/>
          <w:highlight w:val="none"/>
          <w:lang w:val="en-US" w:eastAsia="zh-CN"/>
        </w:rPr>
        <w:t>项目方</w:t>
      </w:r>
      <w:r>
        <w:rPr>
          <w:rFonts w:hint="eastAsia" w:ascii="仿宋_GB2312" w:hAnsi="仿宋_GB2312" w:eastAsia="仿宋_GB2312" w:cs="仿宋_GB2312"/>
          <w:sz w:val="30"/>
          <w:szCs w:val="30"/>
          <w:highlight w:val="none"/>
        </w:rPr>
        <w:t>另行通知为准。</w:t>
      </w:r>
    </w:p>
    <w:p>
      <w:pPr>
        <w:numPr>
          <w:ilvl w:val="0"/>
          <w:numId w:val="3"/>
        </w:num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评审组采取综合评议的方式对所有意向合作方提交的相关材料进行综合评议打分，</w:t>
      </w:r>
      <w:r>
        <w:rPr>
          <w:rFonts w:hint="eastAsia" w:ascii="仿宋_GB2312" w:hAnsi="仿宋_GB2312" w:eastAsia="仿宋_GB2312" w:cs="仿宋_GB2312"/>
          <w:sz w:val="30"/>
          <w:szCs w:val="30"/>
          <w:highlight w:val="none"/>
          <w:lang w:val="en-US" w:eastAsia="zh-CN"/>
        </w:rPr>
        <w:t>符合我方招募方案要求且评议分高于70分的意向合作方，按照得分高者得的方式，</w:t>
      </w:r>
      <w:r>
        <w:rPr>
          <w:rFonts w:hint="eastAsia" w:ascii="仿宋_GB2312" w:hAnsi="仿宋_GB2312" w:eastAsia="仿宋_GB2312" w:cs="仿宋_GB2312"/>
          <w:sz w:val="30"/>
          <w:szCs w:val="30"/>
          <w:highlight w:val="none"/>
        </w:rPr>
        <w:t>经漫话公司决策后确认最终合作方</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若只有一家报名且满足招募要求的参与竞争合作，同时综合评议分高于70分，由评审组确认为意向合作方，经漫话公司决策后确认最终合作方。</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(五) 招募结果将在四川旅投旅游创新开发有限责任公司官网、天府国际动漫城微信公众号同步公示，公示时间为</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个工作日。</w:t>
      </w:r>
    </w:p>
    <w:p>
      <w:pPr>
        <w:spacing w:line="576" w:lineRule="exact"/>
        <w:ind w:firstLine="600" w:firstLineChars="200"/>
        <w:rPr>
          <w:rFonts w:hint="eastAsia" w:ascii="仿宋_GB2312" w:hAnsi="仿宋_GB2312" w:eastAsia="仿宋_GB2312" w:cs="仿宋_GB2312"/>
          <w:b w:val="0"/>
          <w:bCs w:val="0"/>
          <w:sz w:val="30"/>
          <w:szCs w:val="30"/>
          <w:highlight w:val="none"/>
        </w:rPr>
      </w:pPr>
      <w:r>
        <w:rPr>
          <w:rFonts w:hint="eastAsia" w:ascii="仿宋_GB2312" w:hAnsi="仿宋_GB2312" w:eastAsia="仿宋_GB2312" w:cs="仿宋_GB2312"/>
          <w:sz w:val="30"/>
          <w:szCs w:val="30"/>
          <w:highlight w:val="none"/>
        </w:rPr>
        <w:t>(六)意向合作方成功竞得后，由四川旅投漫话世界旅游开发有限责任公司与竞得方签订合同。</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(七)未合作成功的意向合作方缴纳的竞争合作保证金在结果公示后 5个工作日内原路径退还(不计利息); 合作成功的意向合作方缴纳的竞争合作保证金在合同签订后自动转为履约保证金。若合作成功的意向合作方拒绝与项目方签订</w:t>
      </w:r>
      <w:r>
        <w:rPr>
          <w:rFonts w:hint="eastAsia" w:ascii="仿宋_GB2312" w:hAnsi="仿宋_GB2312" w:eastAsia="仿宋_GB2312" w:cs="仿宋_GB2312"/>
          <w:sz w:val="30"/>
          <w:szCs w:val="30"/>
          <w:highlight w:val="none"/>
          <w:lang w:val="en-US" w:eastAsia="zh-CN"/>
        </w:rPr>
        <w:t>活动联办</w:t>
      </w:r>
      <w:r>
        <w:rPr>
          <w:rFonts w:hint="eastAsia" w:ascii="仿宋_GB2312" w:hAnsi="仿宋_GB2312" w:eastAsia="仿宋_GB2312" w:cs="仿宋_GB2312"/>
          <w:sz w:val="30"/>
          <w:szCs w:val="30"/>
          <w:highlight w:val="none"/>
        </w:rPr>
        <w:t>合同，则缴纳的合作保证金不予退还。</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三、对意向</w:t>
      </w:r>
      <w:r>
        <w:rPr>
          <w:rFonts w:hint="eastAsia" w:ascii="仿宋_GB2312" w:hAnsi="仿宋_GB2312" w:eastAsia="仿宋_GB2312" w:cs="仿宋_GB2312"/>
          <w:sz w:val="30"/>
          <w:szCs w:val="30"/>
          <w:highlight w:val="none"/>
          <w:lang w:val="en-US" w:eastAsia="zh-CN"/>
        </w:rPr>
        <w:t>联办合作方</w:t>
      </w:r>
      <w:r>
        <w:rPr>
          <w:rFonts w:hint="eastAsia" w:ascii="仿宋_GB2312" w:hAnsi="仿宋_GB2312" w:eastAsia="仿宋_GB2312" w:cs="仿宋_GB2312"/>
          <w:sz w:val="30"/>
          <w:szCs w:val="30"/>
          <w:highlight w:val="none"/>
        </w:rPr>
        <w:t>的基本要求</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符合下列条件，均可参加</w:t>
      </w:r>
      <w:r>
        <w:rPr>
          <w:rFonts w:hint="eastAsia" w:ascii="仿宋_GB2312" w:hAnsi="仿宋_GB2312" w:eastAsia="仿宋_GB2312" w:cs="仿宋_GB2312"/>
          <w:sz w:val="30"/>
          <w:szCs w:val="30"/>
          <w:highlight w:val="none"/>
          <w:lang w:val="en-US" w:eastAsia="zh-CN"/>
        </w:rPr>
        <w:t>活动联办</w:t>
      </w:r>
      <w:r>
        <w:rPr>
          <w:rFonts w:hint="eastAsia" w:ascii="仿宋_GB2312" w:hAnsi="仿宋_GB2312" w:eastAsia="仿宋_GB2312" w:cs="仿宋_GB2312"/>
          <w:sz w:val="30"/>
          <w:szCs w:val="30"/>
          <w:highlight w:val="none"/>
        </w:rPr>
        <w:t>投标。</w:t>
      </w:r>
    </w:p>
    <w:p>
      <w:pPr>
        <w:spacing w:line="576" w:lineRule="exact"/>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竞标人应为在中华人民共和国境内依法设立的独立法人。</w:t>
      </w:r>
    </w:p>
    <w:p>
      <w:pPr>
        <w:pStyle w:val="2"/>
        <w:rPr>
          <w:rFonts w:hint="default"/>
        </w:rPr>
      </w:pP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附件1：总平图</w:t>
      </w:r>
      <w:r>
        <w:rPr>
          <w:rFonts w:hint="default" w:ascii="Times New Roman" w:hAnsi="Times New Roman" w:eastAsia="方正仿宋_GB2312" w:cs="Times New Roman"/>
          <w:sz w:val="28"/>
          <w:szCs w:val="28"/>
          <w:highlight w:val="none"/>
          <w:lang w:val="en-US" w:eastAsia="zh-CN"/>
        </w:rPr>
        <w:t>及店铺位置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 3:《响应文件》格式</w:t>
      </w:r>
    </w:p>
    <w:p>
      <w:pPr>
        <w:spacing w:line="576" w:lineRule="exact"/>
        <w:ind w:firstLine="560" w:firstLineChars="200"/>
        <w:rPr>
          <w:rFonts w:hint="default"/>
        </w:rPr>
      </w:pPr>
      <w:r>
        <w:rPr>
          <w:rFonts w:hint="eastAsia" w:ascii="Times New Roman" w:hAnsi="Times New Roman" w:eastAsia="方正仿宋_GB2312" w:cs="Times New Roman"/>
          <w:sz w:val="28"/>
          <w:szCs w:val="28"/>
          <w:highlight w:val="none"/>
          <w:lang w:val="en-US" w:eastAsia="zh-CN"/>
        </w:rPr>
        <w:t>附件4：</w:t>
      </w:r>
      <w:r>
        <w:rPr>
          <w:rFonts w:hint="eastAsia" w:ascii="Times New Roman" w:hAnsi="Times New Roman" w:eastAsia="方正仿宋_GB2312" w:cs="Times New Roman"/>
          <w:sz w:val="28"/>
          <w:szCs w:val="28"/>
          <w:lang w:val="en-US" w:eastAsia="zh-CN"/>
        </w:rPr>
        <w:t>天府国际动漫城国际知名IP快闪活动联办合作方公开招募评分细则</w:t>
      </w:r>
    </w:p>
    <w:p>
      <w:pPr>
        <w:spacing w:line="576" w:lineRule="exact"/>
        <w:jc w:val="right"/>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四川旅投漫话世界旅游开发有限责任公司</w:t>
      </w:r>
    </w:p>
    <w:p>
      <w:pPr>
        <w:pStyle w:val="2"/>
        <w:wordWrap w:val="0"/>
        <w:jc w:val="right"/>
        <w:rPr>
          <w:rFonts w:hint="default"/>
          <w:lang w:val="en-US" w:eastAsia="zh-CN"/>
        </w:rPr>
      </w:pPr>
      <w:r>
        <w:rPr>
          <w:rFonts w:hint="eastAsia" w:ascii="Times New Roman" w:hAnsi="Times New Roman" w:eastAsia="方正仿宋_GB2312" w:cs="Times New Roman"/>
          <w:sz w:val="28"/>
          <w:szCs w:val="28"/>
          <w:highlight w:val="none"/>
          <w:lang w:val="en-US" w:eastAsia="zh-CN"/>
        </w:rPr>
        <w:t>2024年</w:t>
      </w:r>
      <w:r>
        <w:rPr>
          <w:rFonts w:hint="eastAsia" w:eastAsia="方正仿宋_GB2312" w:cs="Times New Roman"/>
          <w:sz w:val="28"/>
          <w:szCs w:val="28"/>
          <w:highlight w:val="none"/>
          <w:lang w:val="en-US" w:eastAsia="zh-CN"/>
        </w:rPr>
        <w:t>8</w:t>
      </w:r>
      <w:r>
        <w:rPr>
          <w:rFonts w:hint="eastAsia" w:ascii="Times New Roman" w:hAnsi="Times New Roman" w:eastAsia="方正仿宋_GB2312" w:cs="Times New Roman"/>
          <w:sz w:val="28"/>
          <w:szCs w:val="28"/>
          <w:highlight w:val="none"/>
          <w:lang w:val="en-US" w:eastAsia="zh-CN"/>
        </w:rPr>
        <w:t>月</w:t>
      </w:r>
      <w:r>
        <w:rPr>
          <w:rFonts w:hint="eastAsia" w:eastAsia="方正仿宋_GB2312" w:cs="Times New Roman"/>
          <w:sz w:val="28"/>
          <w:szCs w:val="28"/>
          <w:highlight w:val="none"/>
          <w:lang w:val="en-US" w:eastAsia="zh-CN"/>
        </w:rPr>
        <w:t>29</w:t>
      </w:r>
      <w:r>
        <w:rPr>
          <w:rFonts w:hint="eastAsia" w:ascii="Times New Roman" w:hAnsi="Times New Roman" w:eastAsia="方正仿宋_GB2312" w:cs="Times New Roman"/>
          <w:sz w:val="28"/>
          <w:szCs w:val="28"/>
          <w:highlight w:val="none"/>
          <w:lang w:val="en-US" w:eastAsia="zh-CN"/>
        </w:rPr>
        <w:t xml:space="preserve">日  </w:t>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附件1：总平图</w:t>
      </w:r>
    </w:p>
    <w:p>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3399155" cy="1889760"/>
            <wp:effectExtent l="0" t="0" r="10795" b="15240"/>
            <wp:docPr id="1" name="图片 1"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鸟瞰图2"/>
                    <pic:cNvPicPr>
                      <a:picLocks noChangeAspect="1"/>
                    </pic:cNvPicPr>
                  </pic:nvPicPr>
                  <pic:blipFill>
                    <a:blip r:embed="rId6"/>
                    <a:stretch>
                      <a:fillRect/>
                    </a:stretch>
                  </pic:blipFill>
                  <pic:spPr>
                    <a:xfrm>
                      <a:off x="0" y="0"/>
                      <a:ext cx="3399155" cy="1889760"/>
                    </a:xfrm>
                    <a:prstGeom prst="rect">
                      <a:avLst/>
                    </a:prstGeom>
                  </pic:spPr>
                </pic:pic>
              </a:graphicData>
            </a:graphic>
          </wp:inline>
        </w:drawing>
      </w:r>
    </w:p>
    <w:p>
      <w:pPr>
        <w:spacing w:line="576" w:lineRule="exact"/>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活动位置</w:t>
      </w:r>
    </w:p>
    <w:p>
      <w:pPr>
        <w:rPr>
          <w:rFonts w:hint="eastAsia" w:ascii="Times New Roman" w:hAnsi="Times New Roman" w:cs="Times New Roman" w:eastAsiaTheme="minorEastAsia"/>
          <w:highlight w:val="none"/>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3468370</wp:posOffset>
                </wp:positionH>
                <wp:positionV relativeFrom="paragraph">
                  <wp:posOffset>2256790</wp:posOffset>
                </wp:positionV>
                <wp:extent cx="417830" cy="442595"/>
                <wp:effectExtent l="6350" t="6350" r="7620" b="8255"/>
                <wp:wrapNone/>
                <wp:docPr id="7" name="矩形 7"/>
                <wp:cNvGraphicFramePr/>
                <a:graphic xmlns:a="http://schemas.openxmlformats.org/drawingml/2006/main">
                  <a:graphicData uri="http://schemas.microsoft.com/office/word/2010/wordprocessingShape">
                    <wps:wsp>
                      <wps:cNvSpPr/>
                      <wps:spPr>
                        <a:xfrm>
                          <a:off x="1986280" y="7846060"/>
                          <a:ext cx="417830" cy="442595"/>
                        </a:xfrm>
                        <a:prstGeom prst="rect">
                          <a:avLst/>
                        </a:prstGeom>
                        <a:solidFill>
                          <a:srgbClr val="FFFF00">
                            <a:alpha val="51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1pt;margin-top:177.7pt;height:34.85pt;width:32.9pt;z-index:251659264;v-text-anchor:middle;mso-width-relative:page;mso-height-relative:page;" fillcolor="#FFFF00" filled="t" stroked="t" coordsize="21600,21600" o:gfxdata="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DXhWOY3AAAAAsBAAAPAAAAAAAAAAEAIAAAACIAAABkcnMvZG93bnJldi54bWxQSwEC&#10;FAAUAAAACACHTuJA0sfCQpsCAABMBQAADgAAAAAAAAABACAAAAArAQAAZHJzL2Uyb0RvYy54bWxQ&#10;SwUGAAAAAAYABgBZAQAAOAYAAAAA&#10;">
                <v:fill on="t" opacity="33423f" focussize="0,0"/>
                <v:stroke weight="1pt" color="#41719C [3204]" miterlimit="8" joinstyle="miter"/>
                <v:imagedata o:title=""/>
                <o:lock v:ext="edit" aspectratio="f"/>
                <v:textbox>
                  <w:txbxContent>
                    <w:p/>
                  </w:txbxContent>
                </v:textbox>
              </v:rect>
            </w:pict>
          </mc:Fallback>
        </mc:AlternateContent>
      </w:r>
      <w:r>
        <w:drawing>
          <wp:inline distT="0" distB="0" distL="114300" distR="114300">
            <wp:extent cx="5269865" cy="2880360"/>
            <wp:effectExtent l="0" t="0" r="13335"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69865" cy="288036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214880" cy="1670050"/>
            <wp:effectExtent l="0" t="0" r="1397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2214880" cy="167005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drawing>
          <wp:inline distT="0" distB="0" distL="114300" distR="114300">
            <wp:extent cx="88265" cy="50165"/>
            <wp:effectExtent l="0" t="0" r="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9"/>
                    <a:stretch>
                      <a:fillRect/>
                    </a:stretch>
                  </pic:blipFill>
                  <pic:spPr>
                    <a:xfrm>
                      <a:off x="0" y="0"/>
                      <a:ext cx="88265" cy="50165"/>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附件3、响应文件封面</w:t>
      </w:r>
    </w:p>
    <w:p>
      <w:pPr>
        <w:spacing w:line="640" w:lineRule="atLeast"/>
        <w:rPr>
          <w:rFonts w:hint="default" w:ascii="Times New Roman" w:hAnsi="Times New Roman" w:eastAsia="方正仿宋_GB2312" w:cs="Times New Roman"/>
          <w:b/>
          <w:sz w:val="28"/>
          <w:szCs w:val="28"/>
          <w:highlight w:val="none"/>
        </w:rPr>
      </w:pPr>
    </w:p>
    <w:p>
      <w:pPr>
        <w:pStyle w:val="2"/>
        <w:rPr>
          <w:rFonts w:hint="default" w:ascii="Times New Roman" w:hAnsi="Times New Roman" w:eastAsia="方正仿宋_GB2312" w:cs="Times New Roman"/>
          <w:sz w:val="28"/>
          <w:szCs w:val="28"/>
          <w:highlight w:val="none"/>
        </w:rPr>
      </w:pPr>
    </w:p>
    <w:p>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pPr>
        <w:pStyle w:val="5"/>
        <w:spacing w:line="640" w:lineRule="atLeast"/>
        <w:rPr>
          <w:rFonts w:hint="default" w:ascii="Times New Roman" w:hAnsi="Times New Roman" w:eastAsia="方正仿宋_GB2312" w:cs="Times New Roman"/>
          <w:sz w:val="28"/>
          <w:szCs w:val="28"/>
          <w:highlight w:val="none"/>
        </w:rPr>
      </w:pPr>
    </w:p>
    <w:p>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pPr>
        <w:pStyle w:val="5"/>
        <w:spacing w:line="640" w:lineRule="atLeast"/>
        <w:rPr>
          <w:rFonts w:hint="default" w:ascii="Times New Roman" w:hAnsi="Times New Roman" w:eastAsia="方正仿宋_GB2312" w:cs="Times New Roman"/>
          <w:sz w:val="28"/>
          <w:szCs w:val="28"/>
          <w:highlight w:val="none"/>
        </w:rPr>
      </w:pPr>
    </w:p>
    <w:p>
      <w:pPr>
        <w:spacing w:line="640" w:lineRule="atLeast"/>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w:t>
      </w:r>
      <w:r>
        <w:rPr>
          <w:rFonts w:hint="eastAsia" w:ascii="Times New Roman" w:hAnsi="Times New Roman" w:eastAsia="方正仿宋_GB2312" w:cs="Times New Roman"/>
          <w:sz w:val="28"/>
          <w:szCs w:val="28"/>
          <w:highlight w:val="none"/>
          <w:u w:val="none"/>
          <w:lang w:val="en-US" w:eastAsia="zh-CN"/>
        </w:rPr>
        <w:t xml:space="preserve"> </w:t>
      </w:r>
      <w:r>
        <w:rPr>
          <w:rFonts w:hint="eastAsia" w:ascii="Times New Roman" w:hAnsi="Times New Roman" w:eastAsia="方正仿宋_GB2312" w:cs="Times New Roman"/>
          <w:sz w:val="28"/>
          <w:szCs w:val="28"/>
          <w:highlight w:val="none"/>
          <w:u w:val="none"/>
          <w:lang w:eastAsia="zh-CN"/>
        </w:rPr>
        <w:t>号</w:t>
      </w:r>
      <w:r>
        <w:rPr>
          <w:rFonts w:hint="default" w:ascii="Times New Roman" w:hAnsi="Times New Roman" w:eastAsia="方正仿宋_GB2312" w:cs="Times New Roman"/>
          <w:sz w:val="28"/>
          <w:szCs w:val="28"/>
          <w:highlight w:val="none"/>
          <w:u w:val="none"/>
        </w:rPr>
        <w:t xml:space="preserve"> </w:t>
      </w:r>
      <w:r>
        <w:rPr>
          <w:rFonts w:hint="default" w:ascii="Times New Roman" w:hAnsi="Times New Roman" w:eastAsia="方正仿宋_GB2312" w:cs="Times New Roman"/>
          <w:sz w:val="28"/>
          <w:szCs w:val="28"/>
          <w:highlight w:val="none"/>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pPr>
        <w:numPr>
          <w:ilvl w:val="0"/>
          <w:numId w:val="4"/>
        </w:numPr>
        <w:spacing w:line="640" w:lineRule="atLeast"/>
        <w:ind w:left="0" w:leftChars="0" w:firstLine="560" w:firstLine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rPr>
          <w:rFonts w:hint="default" w:ascii="Times New Roman" w:hAnsi="Times New Roman" w:eastAsia="方正仿宋_GB2312" w:cs="Times New Roman"/>
          <w:sz w:val="28"/>
          <w:szCs w:val="28"/>
          <w:highlight w:val="none"/>
        </w:rPr>
      </w:pPr>
    </w:p>
    <w:p>
      <w:pPr>
        <w:pStyle w:val="2"/>
        <w:rPr>
          <w:rFonts w:hint="default"/>
        </w:rPr>
      </w:pPr>
    </w:p>
    <w:p>
      <w:pPr>
        <w:rPr>
          <w:rFonts w:hint="default"/>
        </w:rPr>
      </w:pPr>
    </w:p>
    <w:p>
      <w:pPr>
        <w:numPr>
          <w:ilvl w:val="0"/>
          <w:numId w:val="0"/>
        </w:numPr>
        <w:spacing w:line="576" w:lineRule="exact"/>
        <w:ind w:leftChars="200"/>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rPr>
      </w:pPr>
    </w:p>
    <w:p>
      <w:pPr>
        <w:numPr>
          <w:ilvl w:val="0"/>
          <w:numId w:val="0"/>
        </w:numPr>
        <w:spacing w:line="576" w:lineRule="exact"/>
        <w:ind w:leftChars="200"/>
        <w:rPr>
          <w:rFonts w:hint="default" w:ascii="Times New Roman" w:hAnsi="Times New Roman" w:eastAsia="方正仿宋_GB2312" w:cs="Times New Roman"/>
          <w:sz w:val="28"/>
          <w:szCs w:val="28"/>
          <w:highlight w:val="none"/>
        </w:rPr>
      </w:pPr>
    </w:p>
    <w:p>
      <w:pPr>
        <w:numPr>
          <w:ilvl w:val="0"/>
          <w:numId w:val="4"/>
        </w:numPr>
        <w:spacing w:line="576" w:lineRule="exact"/>
        <w:ind w:left="0" w:leftChars="0"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法定代表人授权委托书模板</w:t>
      </w:r>
    </w:p>
    <w:p>
      <w:pPr>
        <w:pStyle w:val="2"/>
        <w:numPr>
          <w:ilvl w:val="0"/>
          <w:numId w:val="0"/>
        </w:numPr>
        <w:rPr>
          <w:rFonts w:hint="default" w:ascii="Times New Roman" w:hAnsi="Times New Roman" w:cs="Times New Roman"/>
          <w:highlight w:val="none"/>
        </w:rPr>
      </w:pPr>
    </w:p>
    <w:p>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rPr>
      </w:pPr>
    </w:p>
    <w:p>
      <w:pPr>
        <w:rPr>
          <w:rFonts w:hint="default"/>
        </w:rPr>
      </w:pPr>
    </w:p>
    <w:p>
      <w:pPr>
        <w:rPr>
          <w:rFonts w:hint="default"/>
        </w:rPr>
      </w:pPr>
    </w:p>
    <w:p>
      <w:pPr>
        <w:rPr>
          <w:rFonts w:hint="default"/>
        </w:rPr>
      </w:pPr>
    </w:p>
    <w:p>
      <w:pPr>
        <w:rPr>
          <w:rFonts w:hint="default"/>
        </w:rPr>
      </w:pPr>
    </w:p>
    <w:p>
      <w:pPr>
        <w:numPr>
          <w:ilvl w:val="0"/>
          <w:numId w:val="0"/>
        </w:numPr>
        <w:spacing w:after="120" w:line="640" w:lineRule="atLeas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合作申请函</w:t>
      </w:r>
    </w:p>
    <w:p>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w:t>
      </w:r>
      <w:r>
        <w:rPr>
          <w:rFonts w:hint="eastAsia" w:ascii="Times New Roman" w:hAnsi="Times New Roman" w:eastAsia="方正仿宋_GB2312" w:cs="Times New Roman"/>
          <w:sz w:val="28"/>
          <w:szCs w:val="28"/>
          <w:highlight w:val="none"/>
          <w:lang w:val="en-US" w:eastAsia="zh-CN"/>
        </w:rPr>
        <w:t>国际知名IP快闪活动联办合作方招募</w:t>
      </w:r>
      <w:r>
        <w:rPr>
          <w:rFonts w:hint="default" w:ascii="Times New Roman" w:hAnsi="Times New Roman" w:eastAsia="方正仿宋_GB2312" w:cs="Times New Roman"/>
          <w:sz w:val="28"/>
          <w:szCs w:val="28"/>
          <w:highlight w:val="none"/>
        </w:rPr>
        <w:t>公告》的全部内容，在完全理解并严格遵守招募公告的各项规定和要求的前提下，自愿参加本项目招募活动，本次合作的标的为：</w:t>
      </w:r>
    </w:p>
    <w:p>
      <w:pPr>
        <w:numPr>
          <w:ilvl w:val="0"/>
          <w:numId w:val="5"/>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5"/>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none"/>
          <w:lang w:val="en-US" w:eastAsia="zh-CN"/>
        </w:rPr>
        <w:t>月</w:t>
      </w:r>
      <w:r>
        <w:rPr>
          <w:rFonts w:hint="default" w:ascii="Times New Roman" w:hAnsi="Times New Roman" w:eastAsia="方正仿宋_GB2312" w:cs="Times New Roman"/>
          <w:sz w:val="28"/>
          <w:szCs w:val="28"/>
          <w:highlight w:val="none"/>
        </w:rPr>
        <w:t>。</w:t>
      </w:r>
    </w:p>
    <w:p>
      <w:pPr>
        <w:numPr>
          <w:ilvl w:val="0"/>
          <w:numId w:val="5"/>
        </w:numPr>
        <w:spacing w:line="576" w:lineRule="exac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扣点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lang w:val="en-US" w:eastAsia="zh-CN"/>
        </w:rPr>
        <w:t>%</w:t>
      </w:r>
    </w:p>
    <w:p>
      <w:pPr>
        <w:numPr>
          <w:ilvl w:val="0"/>
          <w:numId w:val="5"/>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5"/>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5"/>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支付方式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pPr>
        <w:numPr>
          <w:ilvl w:val="0"/>
          <w:numId w:val="6"/>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pPr>
        <w:numPr>
          <w:ilvl w:val="0"/>
          <w:numId w:val="6"/>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pPr>
        <w:numPr>
          <w:ilvl w:val="0"/>
          <w:numId w:val="7"/>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其他承诺：我方完全响应招募文件的要求，接受招募文件中的合同条款。</w:t>
      </w:r>
    </w:p>
    <w:p>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 xml:space="preserve">（加盖公章）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合作方案</w:t>
      </w:r>
    </w:p>
    <w:p>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p/>
    <w:p/>
    <w:p/>
    <w:p/>
    <w:p/>
    <w:p/>
    <w:p/>
    <w:p/>
    <w:p/>
    <w:p/>
    <w:p/>
    <w:p/>
    <w:p/>
    <w:p/>
    <w:p/>
    <w:p/>
    <w:p/>
    <w:p/>
    <w:p/>
    <w:p/>
    <w:p/>
    <w:p/>
    <w:p/>
    <w:p/>
    <w:p/>
    <w:p>
      <w:pPr>
        <w:spacing w:before="120" w:beforeLines="50" w:after="120" w:afterLines="50"/>
        <w:outlineLvl w:val="0"/>
        <w:rPr>
          <w:rFonts w:hint="eastAsia" w:ascii="Arial" w:hAnsi="Arial" w:eastAsia="宋体" w:cs="宋体"/>
          <w:b/>
          <w:sz w:val="22"/>
          <w:szCs w:val="22"/>
        </w:rPr>
        <w:sectPr>
          <w:footerReference r:id="rId3" w:type="default"/>
          <w:pgSz w:w="11906" w:h="16838"/>
          <w:pgMar w:top="1440" w:right="1800" w:bottom="1440" w:left="1800" w:header="851" w:footer="992" w:gutter="0"/>
          <w:pgNumType w:start="1"/>
          <w:cols w:space="720" w:num="1"/>
          <w:docGrid w:type="lines" w:linePitch="312" w:charSpace="0"/>
        </w:sectPr>
      </w:pPr>
    </w:p>
    <w:p>
      <w:pPr>
        <w:spacing w:line="576" w:lineRule="exact"/>
        <w:rPr>
          <w:rFonts w:hint="eastAsia" w:ascii="Times New Roman" w:hAnsi="Times New Roman" w:eastAsia="方正仿宋_GB2312" w:cs="Times New Roman"/>
          <w:sz w:val="28"/>
          <w:szCs w:val="28"/>
          <w:lang w:val="en-US" w:eastAsia="zh-CN"/>
        </w:rPr>
      </w:pPr>
      <w:bookmarkStart w:id="0" w:name="_GoBack"/>
      <w:bookmarkEnd w:id="0"/>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4</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天府国际动漫城国际知名IP快闪活动联办合作方公开招募评分细则</w:t>
      </w:r>
    </w:p>
    <w:tbl>
      <w:tblPr>
        <w:tblStyle w:val="7"/>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63"/>
        <w:gridCol w:w="1477"/>
        <w:gridCol w:w="839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天府国际动漫城国际知名IP活动联办合作方公开招募评分细则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商务条件</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（一）扣点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商务条件满分为70分，基准分数线为60分，票务分成达到6%，得分即为60分。在票务分成最低要求基础上，扣点基准上每增加0.5%，分数增加2分，分数不超过70分。</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highlight w:val="none"/>
                <w:u w:val="none"/>
                <w:lang w:val="en-US" w:eastAsia="zh-CN" w:bidi="ar"/>
              </w:rPr>
              <w:t>方案须包含IP介绍、定位、规划及运营等内容。评审委员会根据方案进行综合评审，优得20-25分，良得15-19分，一般得10-14分，差得1-9分，无得0分。（评分保留整数）。合作方可提供其他IP授权函，分数增加1分；合作方展览内容包含表演、研学内容的，分数可增加2分；总分数不超过30分；合作方具备自媒体运营、直播经验的分数可增加2分；</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pPr>
        <w:bidi w:val="0"/>
        <w:jc w:val="left"/>
        <w:rPr>
          <w:rFonts w:hint="default"/>
          <w:lang w:val="en-US" w:eastAsia="zh-CN"/>
        </w:rPr>
      </w:pPr>
    </w:p>
    <w:p>
      <w:pPr>
        <w:pStyle w:val="2"/>
        <w:rPr>
          <w:rFonts w:hint="default"/>
        </w:rPr>
      </w:pPr>
    </w:p>
    <w:p>
      <w:pPr>
        <w:rPr>
          <w:rFonts w:hint="default" w:ascii="Times New Roman" w:hAnsi="Times New Roman" w:cs="Times New Roman"/>
          <w:lang w:val="en-US" w:eastAsia="zh-CN"/>
        </w:rPr>
      </w:pPr>
    </w:p>
    <w:p/>
    <w:p/>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6"/>
                      <w:tabs>
                        <w:tab w:val="center" w:pos="4513"/>
                        <w:tab w:val="right" w:pos="9026"/>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EA117C4"/>
    <w:multiLevelType w:val="singleLevel"/>
    <w:tmpl w:val="0EA117C4"/>
    <w:lvl w:ilvl="0" w:tentative="0">
      <w:start w:val="1"/>
      <w:numFmt w:val="chineseCounting"/>
      <w:suff w:val="nothing"/>
      <w:lvlText w:val="%1、"/>
      <w:lvlJc w:val="left"/>
      <w:rPr>
        <w:rFonts w:hint="eastAsia"/>
      </w:rPr>
    </w:lvl>
  </w:abstractNum>
  <w:abstractNum w:abstractNumId="4">
    <w:nsid w:val="1244DF46"/>
    <w:multiLevelType w:val="singleLevel"/>
    <w:tmpl w:val="1244DF46"/>
    <w:lvl w:ilvl="0" w:tentative="0">
      <w:start w:val="4"/>
      <w:numFmt w:val="chineseCounting"/>
      <w:suff w:val="nothing"/>
      <w:lvlText w:val="（%1）"/>
      <w:lvlJc w:val="left"/>
      <w:rPr>
        <w:rFonts w:hint="eastAsia"/>
      </w:rPr>
    </w:lvl>
  </w:abstractNum>
  <w:abstractNum w:abstractNumId="5">
    <w:nsid w:val="15441EA5"/>
    <w:multiLevelType w:val="singleLevel"/>
    <w:tmpl w:val="15441EA5"/>
    <w:lvl w:ilvl="0" w:tentative="0">
      <w:start w:val="2"/>
      <w:numFmt w:val="decimal"/>
      <w:lvlText w:val="%1."/>
      <w:lvlJc w:val="left"/>
      <w:pPr>
        <w:tabs>
          <w:tab w:val="left" w:pos="312"/>
        </w:tabs>
      </w:pPr>
    </w:lvl>
  </w:abstractNum>
  <w:abstractNum w:abstractNumId="6">
    <w:nsid w:val="61CBD056"/>
    <w:multiLevelType w:val="singleLevel"/>
    <w:tmpl w:val="61CBD056"/>
    <w:lvl w:ilvl="0" w:tentative="0">
      <w:start w:val="1"/>
      <w:numFmt w:val="decimal"/>
      <w:lvlText w:val="(%1)"/>
      <w:lvlJc w:val="left"/>
      <w:pPr>
        <w:ind w:left="425" w:hanging="425"/>
      </w:pPr>
      <w:rPr>
        <w:rFonts w:hint="default"/>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Njg1MDA4NWJkZTU4OTBkNWJjZDZkZTVmNzFjNzcifQ=="/>
  </w:docVars>
  <w:rsids>
    <w:rsidRoot w:val="00000000"/>
    <w:rsid w:val="02761031"/>
    <w:rsid w:val="17FF39AF"/>
    <w:rsid w:val="1EE6E16E"/>
    <w:rsid w:val="1F98DAD2"/>
    <w:rsid w:val="1FB716AE"/>
    <w:rsid w:val="3F374E6B"/>
    <w:rsid w:val="5E1251A2"/>
    <w:rsid w:val="5FFFB3A6"/>
    <w:rsid w:val="673D641F"/>
    <w:rsid w:val="67DE782D"/>
    <w:rsid w:val="6B7F8A66"/>
    <w:rsid w:val="79FE7DD6"/>
    <w:rsid w:val="7FCEB746"/>
    <w:rsid w:val="7FFF40B2"/>
    <w:rsid w:val="81BA8D77"/>
    <w:rsid w:val="A9FF1F67"/>
    <w:rsid w:val="BC3FB2C5"/>
    <w:rsid w:val="BFEF55F6"/>
    <w:rsid w:val="DBBDF8AA"/>
    <w:rsid w:val="ED67DCE3"/>
    <w:rsid w:val="F3967CAB"/>
    <w:rsid w:val="F7ECB0AB"/>
    <w:rsid w:val="F9833A6D"/>
    <w:rsid w:val="FAFE74DB"/>
    <w:rsid w:val="FBBFC712"/>
    <w:rsid w:val="FBCA41FF"/>
    <w:rsid w:val="FCCD4DCF"/>
    <w:rsid w:val="FDFBE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0"/>
    <w:rPr>
      <w:rFonts w:ascii="Times New Roman" w:hAnsi="Times New Roman" w:eastAsia="宋体" w:cs="Times New Roman"/>
    </w:rPr>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0000FF"/>
      <w:u w:val="none"/>
    </w:rPr>
  </w:style>
  <w:style w:type="character" w:styleId="11">
    <w:name w:val="annotation reference"/>
    <w:unhideWhenUsed/>
    <w:qFormat/>
    <w:uiPriority w:val="99"/>
    <w:rPr>
      <w:sz w:val="21"/>
      <w:szCs w:val="21"/>
    </w:rPr>
  </w:style>
  <w:style w:type="paragraph" w:customStyle="1" w:styleId="12">
    <w:name w:val="列表段落1"/>
    <w:basedOn w:val="1"/>
    <w:qFormat/>
    <w:uiPriority w:val="34"/>
    <w:pPr>
      <w:widowControl/>
      <w:ind w:firstLine="420"/>
      <w:jc w:val="left"/>
    </w:pPr>
    <w:rPr>
      <w:rFonts w:ascii="Calibri" w:hAnsi="Calibri" w:eastAsia="宋体" w:cs="Calibri"/>
      <w:color w:val="auto"/>
      <w:kern w:val="0"/>
      <w:sz w:val="22"/>
      <w:szCs w:val="22"/>
    </w:rPr>
  </w:style>
  <w:style w:type="paragraph" w:customStyle="1" w:styleId="13">
    <w:name w:val="彩色列表 - 强调文字颜色 11"/>
    <w:basedOn w:val="1"/>
    <w:qFormat/>
    <w:uiPriority w:val="34"/>
    <w:pPr>
      <w:ind w:firstLine="420" w:firstLineChars="200"/>
    </w:pPr>
    <w:rPr>
      <w:rFonts w:ascii="等线" w:hAnsi="等线" w:eastAsia="等线" w:cs="等线"/>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2024-08-14T06:09:00Z</dcterms:created>
  <dc:creator>Y-Y</dc:creator>
  <cp:lastModifiedBy>DY</cp:lastModifiedBy>
  <dcterms:modified xsi:type="dcterms:W3CDTF">2024-08-29T06:45:44Z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F65E12B454724BAD909B335D8AE2E058</vt:lpwstr>
  </property>
</Properties>
</file>